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D9A2" w14:textId="77777777" w:rsidR="001B2D98" w:rsidRDefault="001B2D98" w:rsidP="001B2D98">
      <w:pPr>
        <w:spacing w:after="0" w:line="276" w:lineRule="auto"/>
        <w:rPr>
          <w:rFonts w:ascii="Calibri" w:hAnsi="Calibri" w:cs="Calibri"/>
          <w:b/>
          <w:color w:val="003741" w:themeColor="text1"/>
          <w:sz w:val="32"/>
          <w:szCs w:val="32"/>
        </w:rPr>
      </w:pPr>
    </w:p>
    <w:p w14:paraId="3778D865" w14:textId="77777777" w:rsidR="001B2D98" w:rsidRDefault="001B2D98" w:rsidP="001B2D98">
      <w:pPr>
        <w:spacing w:after="0" w:line="276" w:lineRule="auto"/>
        <w:rPr>
          <w:rFonts w:ascii="Calibri" w:hAnsi="Calibri" w:cs="Calibri"/>
          <w:b/>
          <w:color w:val="003741" w:themeColor="text1"/>
          <w:sz w:val="32"/>
          <w:szCs w:val="32"/>
        </w:rPr>
      </w:pPr>
    </w:p>
    <w:p w14:paraId="321279ED" w14:textId="77777777" w:rsidR="001B2D98" w:rsidRDefault="001B2D98" w:rsidP="001B2D98">
      <w:pPr>
        <w:spacing w:after="0" w:line="276" w:lineRule="auto"/>
        <w:rPr>
          <w:rFonts w:ascii="Calibri" w:hAnsi="Calibri" w:cs="Calibri"/>
          <w:b/>
          <w:color w:val="003741" w:themeColor="text1"/>
          <w:sz w:val="32"/>
          <w:szCs w:val="32"/>
        </w:rPr>
      </w:pPr>
    </w:p>
    <w:p w14:paraId="09DC4DC5" w14:textId="77777777" w:rsidR="001B2D98" w:rsidRDefault="001B2D98" w:rsidP="001B2D98">
      <w:pPr>
        <w:spacing w:after="0" w:line="276" w:lineRule="auto"/>
        <w:rPr>
          <w:rFonts w:ascii="Calibri" w:hAnsi="Calibri" w:cs="Calibri"/>
          <w:b/>
          <w:color w:val="003741" w:themeColor="text1"/>
          <w:sz w:val="32"/>
          <w:szCs w:val="32"/>
        </w:rPr>
      </w:pPr>
    </w:p>
    <w:p w14:paraId="63A03BC8" w14:textId="77777777" w:rsidR="001B2D98" w:rsidRDefault="001B2D98" w:rsidP="001B2D98">
      <w:pPr>
        <w:spacing w:after="0" w:line="276" w:lineRule="auto"/>
        <w:rPr>
          <w:rFonts w:ascii="Calibri" w:hAnsi="Calibri" w:cs="Calibri"/>
          <w:b/>
          <w:color w:val="003741" w:themeColor="text1"/>
          <w:sz w:val="32"/>
          <w:szCs w:val="32"/>
        </w:rPr>
      </w:pPr>
    </w:p>
    <w:p w14:paraId="152250DC" w14:textId="77777777" w:rsidR="001B2D98" w:rsidRDefault="001B2D98" w:rsidP="001B2D98">
      <w:pPr>
        <w:spacing w:after="0" w:line="276" w:lineRule="auto"/>
        <w:rPr>
          <w:rFonts w:ascii="Calibri" w:hAnsi="Calibri" w:cs="Calibri"/>
          <w:b/>
          <w:color w:val="003741" w:themeColor="text1"/>
          <w:sz w:val="32"/>
          <w:szCs w:val="32"/>
        </w:rPr>
      </w:pPr>
    </w:p>
    <w:p w14:paraId="6084BC4C" w14:textId="77777777" w:rsidR="001B2D98" w:rsidRDefault="001B2D98" w:rsidP="001B2D98">
      <w:pPr>
        <w:spacing w:after="0" w:line="276" w:lineRule="auto"/>
        <w:rPr>
          <w:rFonts w:ascii="Calibri" w:hAnsi="Calibri" w:cs="Calibri"/>
          <w:b/>
          <w:color w:val="003741" w:themeColor="text1"/>
          <w:sz w:val="32"/>
          <w:szCs w:val="32"/>
        </w:rPr>
      </w:pPr>
    </w:p>
    <w:p w14:paraId="5F38882C" w14:textId="77777777" w:rsidR="001B2D98" w:rsidRDefault="001B2D98" w:rsidP="001B2D98">
      <w:pPr>
        <w:spacing w:after="0" w:line="276" w:lineRule="auto"/>
        <w:rPr>
          <w:rFonts w:ascii="Calibri" w:hAnsi="Calibri" w:cs="Calibri"/>
          <w:b/>
          <w:color w:val="003741" w:themeColor="text1"/>
          <w:sz w:val="32"/>
          <w:szCs w:val="32"/>
        </w:rPr>
      </w:pPr>
    </w:p>
    <w:p w14:paraId="16CCF4A7" w14:textId="512F846F" w:rsidR="001B2D98" w:rsidRPr="0076341B" w:rsidRDefault="001B2D98" w:rsidP="001B2D98">
      <w:pPr>
        <w:spacing w:after="0" w:line="276" w:lineRule="auto"/>
        <w:rPr>
          <w:rFonts w:ascii="Calibri" w:hAnsi="Calibri" w:cs="Calibri"/>
          <w:b/>
          <w:color w:val="003741" w:themeColor="text1"/>
          <w:sz w:val="32"/>
          <w:szCs w:val="32"/>
          <w:lang w:val="en-US"/>
        </w:rPr>
      </w:pPr>
      <w:r w:rsidRPr="0076341B">
        <w:rPr>
          <w:rFonts w:ascii="Calibri" w:hAnsi="Calibri" w:cs="Calibri"/>
          <w:b/>
          <w:color w:val="003741" w:themeColor="text1"/>
          <w:sz w:val="32"/>
          <w:szCs w:val="32"/>
          <w:lang w:val="en-US"/>
        </w:rPr>
        <w:t xml:space="preserve">Terms of Reference: </w:t>
      </w:r>
    </w:p>
    <w:p w14:paraId="4FD25706" w14:textId="172259A6" w:rsidR="001B2D98" w:rsidRPr="001B2D98" w:rsidRDefault="001B2D98" w:rsidP="001B2D98">
      <w:pPr>
        <w:pStyle w:val="mellemrubrik"/>
        <w:spacing w:after="0" w:line="276" w:lineRule="auto"/>
        <w:rPr>
          <w:rFonts w:ascii="Calibri" w:hAnsi="Calibri" w:cs="Calibri"/>
          <w:color w:val="003741" w:themeColor="text1"/>
          <w:sz w:val="64"/>
          <w:szCs w:val="64"/>
          <w:lang w:val="en-US"/>
        </w:rPr>
      </w:pPr>
      <w:r w:rsidRPr="001B2D98">
        <w:rPr>
          <w:rFonts w:ascii="Calibri" w:hAnsi="Calibri" w:cs="Calibri"/>
          <w:color w:val="003741" w:themeColor="text1"/>
          <w:sz w:val="64"/>
          <w:szCs w:val="64"/>
          <w:lang w:val="en-US"/>
        </w:rPr>
        <w:t xml:space="preserve">Grand Solutions Committee for </w:t>
      </w:r>
    </w:p>
    <w:p w14:paraId="53616F66" w14:textId="12C3ED93" w:rsidR="001B2D98" w:rsidRPr="001B2D98" w:rsidRDefault="001B2D98" w:rsidP="001B2D98">
      <w:pPr>
        <w:pStyle w:val="mellemrubrik"/>
        <w:spacing w:after="0" w:line="276" w:lineRule="auto"/>
        <w:rPr>
          <w:rFonts w:ascii="Calibri" w:hAnsi="Calibri" w:cs="Calibri"/>
          <w:color w:val="003741" w:themeColor="text1"/>
          <w:lang w:val="en-US"/>
        </w:rPr>
      </w:pPr>
      <w:r w:rsidRPr="001B2D98">
        <w:rPr>
          <w:rFonts w:ascii="Calibri" w:hAnsi="Calibri" w:cs="Calibri"/>
          <w:color w:val="003741" w:themeColor="text1"/>
          <w:sz w:val="64"/>
          <w:szCs w:val="64"/>
          <w:lang w:val="en-US"/>
        </w:rPr>
        <w:t xml:space="preserve">Advanced and </w:t>
      </w:r>
      <w:r w:rsidR="0076341B">
        <w:rPr>
          <w:rFonts w:ascii="Calibri" w:hAnsi="Calibri" w:cs="Calibri"/>
          <w:color w:val="003741" w:themeColor="text1"/>
          <w:sz w:val="64"/>
          <w:szCs w:val="64"/>
          <w:lang w:val="en-US"/>
        </w:rPr>
        <w:t>C</w:t>
      </w:r>
      <w:r w:rsidRPr="001B2D98">
        <w:rPr>
          <w:rFonts w:ascii="Calibri" w:hAnsi="Calibri" w:cs="Calibri"/>
          <w:color w:val="003741" w:themeColor="text1"/>
          <w:sz w:val="64"/>
          <w:szCs w:val="64"/>
          <w:lang w:val="en-US"/>
        </w:rPr>
        <w:t>ritical</w:t>
      </w:r>
      <w:r>
        <w:rPr>
          <w:rFonts w:ascii="Calibri" w:hAnsi="Calibri" w:cs="Calibri"/>
          <w:color w:val="003741" w:themeColor="text1"/>
          <w:sz w:val="64"/>
          <w:szCs w:val="64"/>
          <w:lang w:val="en-US"/>
        </w:rPr>
        <w:t xml:space="preserve"> </w:t>
      </w:r>
      <w:r w:rsidR="0076341B">
        <w:rPr>
          <w:rFonts w:ascii="Calibri" w:hAnsi="Calibri" w:cs="Calibri"/>
          <w:color w:val="003741" w:themeColor="text1"/>
          <w:sz w:val="64"/>
          <w:szCs w:val="64"/>
          <w:lang w:val="en-US"/>
        </w:rPr>
        <w:t>T</w:t>
      </w:r>
      <w:r>
        <w:rPr>
          <w:rFonts w:ascii="Calibri" w:hAnsi="Calibri" w:cs="Calibri"/>
          <w:color w:val="003741" w:themeColor="text1"/>
          <w:sz w:val="64"/>
          <w:szCs w:val="64"/>
          <w:lang w:val="en-US"/>
        </w:rPr>
        <w:t>echnologies</w:t>
      </w:r>
    </w:p>
    <w:p w14:paraId="5BFB7D4F" w14:textId="77777777" w:rsidR="001B2D98" w:rsidRPr="001B2D98" w:rsidRDefault="001B2D98" w:rsidP="001B2D98">
      <w:pPr>
        <w:pStyle w:val="mellemrubrik"/>
        <w:spacing w:after="0" w:line="276" w:lineRule="auto"/>
        <w:rPr>
          <w:rFonts w:ascii="Calibri" w:hAnsi="Calibri" w:cs="Calibri"/>
          <w:color w:val="003741" w:themeColor="text1"/>
          <w:lang w:val="en-US"/>
        </w:rPr>
      </w:pPr>
    </w:p>
    <w:p w14:paraId="5A03370F" w14:textId="77777777" w:rsidR="001B2D98" w:rsidRPr="001B2D98" w:rsidRDefault="001B2D98" w:rsidP="001B2D98">
      <w:pPr>
        <w:pStyle w:val="mellemrubrik"/>
        <w:spacing w:after="0" w:line="276" w:lineRule="auto"/>
        <w:rPr>
          <w:rFonts w:ascii="Calibri" w:hAnsi="Calibri" w:cs="Calibri"/>
          <w:color w:val="003741" w:themeColor="text1"/>
          <w:lang w:val="en-US"/>
        </w:rPr>
      </w:pPr>
    </w:p>
    <w:p w14:paraId="486421DA" w14:textId="77777777" w:rsidR="001B2D98" w:rsidRPr="001B2D98" w:rsidRDefault="001B2D98" w:rsidP="001B2D98">
      <w:pPr>
        <w:pStyle w:val="mellemrubrik"/>
        <w:spacing w:after="0" w:line="276" w:lineRule="auto"/>
        <w:rPr>
          <w:rFonts w:ascii="Calibri" w:hAnsi="Calibri" w:cs="Calibri"/>
          <w:color w:val="003741" w:themeColor="text1"/>
          <w:lang w:val="en-US"/>
        </w:rPr>
      </w:pPr>
    </w:p>
    <w:p w14:paraId="44737526" w14:textId="77777777" w:rsidR="001B2D98" w:rsidRPr="001B2D98" w:rsidRDefault="001B2D98" w:rsidP="001B2D98">
      <w:pPr>
        <w:pStyle w:val="mellemrubrik"/>
        <w:spacing w:after="0" w:line="276" w:lineRule="auto"/>
        <w:rPr>
          <w:rFonts w:ascii="Calibri" w:hAnsi="Calibri" w:cs="Calibri"/>
          <w:color w:val="003741" w:themeColor="text1"/>
          <w:lang w:val="en-US"/>
        </w:rPr>
      </w:pPr>
    </w:p>
    <w:p w14:paraId="1C61FB30" w14:textId="77777777" w:rsidR="001B2D98" w:rsidRPr="001B2D98" w:rsidRDefault="001B2D98" w:rsidP="001B2D98">
      <w:pPr>
        <w:pStyle w:val="mellemrubrik"/>
        <w:spacing w:after="0" w:line="276" w:lineRule="auto"/>
        <w:rPr>
          <w:rFonts w:ascii="Calibri" w:hAnsi="Calibri" w:cs="Calibri"/>
          <w:color w:val="003741" w:themeColor="text1"/>
          <w:lang w:val="en-US"/>
        </w:rPr>
      </w:pPr>
    </w:p>
    <w:p w14:paraId="75EE25BE" w14:textId="77777777" w:rsidR="001B2D98" w:rsidRPr="001B2D98" w:rsidRDefault="001B2D98" w:rsidP="001B2D98">
      <w:pPr>
        <w:pStyle w:val="mellemrubrik"/>
        <w:spacing w:after="0" w:line="276" w:lineRule="auto"/>
        <w:rPr>
          <w:rFonts w:ascii="Calibri" w:hAnsi="Calibri" w:cs="Calibri"/>
          <w:color w:val="003741" w:themeColor="text1"/>
          <w:lang w:val="en-US"/>
        </w:rPr>
      </w:pPr>
    </w:p>
    <w:p w14:paraId="4C2AEAE6" w14:textId="77777777" w:rsidR="001B2D98" w:rsidRPr="001B2D98" w:rsidRDefault="001B2D98" w:rsidP="001B2D98">
      <w:pPr>
        <w:pStyle w:val="mellemrubrik"/>
        <w:spacing w:after="0" w:line="276" w:lineRule="auto"/>
        <w:rPr>
          <w:rFonts w:ascii="Calibri" w:hAnsi="Calibri" w:cs="Calibri"/>
          <w:color w:val="003741" w:themeColor="text1"/>
          <w:lang w:val="en-US"/>
        </w:rPr>
      </w:pPr>
    </w:p>
    <w:p w14:paraId="25826395" w14:textId="77777777" w:rsidR="001B2D98" w:rsidRPr="001B2D98" w:rsidRDefault="001B2D98" w:rsidP="001B2D98">
      <w:pPr>
        <w:pStyle w:val="mellemrubrik"/>
        <w:spacing w:after="0" w:line="276" w:lineRule="auto"/>
        <w:rPr>
          <w:rFonts w:ascii="Calibri" w:hAnsi="Calibri" w:cs="Calibri"/>
          <w:color w:val="003741" w:themeColor="text1"/>
          <w:lang w:val="en-US"/>
        </w:rPr>
      </w:pPr>
    </w:p>
    <w:p w14:paraId="42DD5346" w14:textId="77777777" w:rsidR="001B2D98" w:rsidRPr="001B2D98" w:rsidRDefault="001B2D98" w:rsidP="001B2D98">
      <w:pPr>
        <w:pStyle w:val="mellemrubrik"/>
        <w:spacing w:after="0" w:line="276" w:lineRule="auto"/>
        <w:rPr>
          <w:rFonts w:ascii="Calibri" w:hAnsi="Calibri" w:cs="Calibri"/>
          <w:color w:val="003741" w:themeColor="text1"/>
          <w:lang w:val="en-US"/>
        </w:rPr>
      </w:pPr>
    </w:p>
    <w:p w14:paraId="3FD08BAE" w14:textId="77777777" w:rsidR="001B2D98" w:rsidRPr="001B2D98" w:rsidRDefault="001B2D98" w:rsidP="001B2D98">
      <w:pPr>
        <w:pStyle w:val="mellemrubrik"/>
        <w:spacing w:after="0" w:line="276" w:lineRule="auto"/>
        <w:rPr>
          <w:rFonts w:ascii="Calibri" w:hAnsi="Calibri" w:cs="Calibri"/>
          <w:color w:val="003741" w:themeColor="text1"/>
          <w:lang w:val="en-US"/>
        </w:rPr>
      </w:pPr>
    </w:p>
    <w:p w14:paraId="3E8B7797" w14:textId="77777777" w:rsidR="001B2D98" w:rsidRPr="001B2D98" w:rsidRDefault="001B2D98" w:rsidP="001B2D98">
      <w:pPr>
        <w:pStyle w:val="mellemrubrik"/>
        <w:spacing w:after="0" w:line="276" w:lineRule="auto"/>
        <w:rPr>
          <w:rFonts w:ascii="Calibri" w:hAnsi="Calibri" w:cs="Calibri"/>
          <w:color w:val="003741" w:themeColor="text1"/>
          <w:lang w:val="en-US"/>
        </w:rPr>
      </w:pPr>
    </w:p>
    <w:p w14:paraId="0777AC7B" w14:textId="6D3A649B" w:rsidR="001B2D98" w:rsidRPr="001B2D98" w:rsidRDefault="001B2D98" w:rsidP="001B2D98">
      <w:pPr>
        <w:pStyle w:val="mellemrubrik"/>
        <w:spacing w:after="0" w:line="276" w:lineRule="auto"/>
        <w:rPr>
          <w:rFonts w:ascii="Calibri" w:hAnsi="Calibri" w:cs="Calibri"/>
          <w:color w:val="003741" w:themeColor="text1"/>
          <w:lang w:val="en-US"/>
        </w:rPr>
      </w:pPr>
      <w:r>
        <w:rPr>
          <w:rFonts w:ascii="Calibri" w:hAnsi="Calibri" w:cs="Calibri"/>
          <w:color w:val="003741" w:themeColor="text1"/>
          <w:lang w:val="en-US"/>
        </w:rPr>
        <w:t>Effective date</w:t>
      </w:r>
      <w:r w:rsidRPr="001B2D98">
        <w:rPr>
          <w:rFonts w:ascii="Calibri" w:hAnsi="Calibri" w:cs="Calibri"/>
          <w:color w:val="003741" w:themeColor="text1"/>
          <w:lang w:val="en-US"/>
        </w:rPr>
        <w:t>:</w:t>
      </w:r>
    </w:p>
    <w:bookmarkStart w:id="0" w:name="_Hlk220583379" w:displacedByCustomXml="next"/>
    <w:sdt>
      <w:sdtPr>
        <w:rPr>
          <w:rFonts w:ascii="Calibri" w:hAnsi="Calibri" w:cs="Calibri"/>
          <w:color w:val="003741" w:themeColor="text1"/>
        </w:rPr>
        <w:id w:val="289326464"/>
        <w:placeholder>
          <w:docPart w:val="8A87C42687434E8DBF0E91682FFAED4D"/>
        </w:placeholder>
      </w:sdtPr>
      <w:sdtEndPr/>
      <w:sdtContent>
        <w:p w14:paraId="1520AF3F" w14:textId="1044FE91" w:rsidR="001B2D98" w:rsidRPr="0076341B" w:rsidRDefault="001B2D98" w:rsidP="001B2D98">
          <w:pPr>
            <w:spacing w:after="0" w:line="276" w:lineRule="auto"/>
            <w:rPr>
              <w:rFonts w:ascii="Calibri" w:hAnsi="Calibri" w:cs="Calibri"/>
              <w:color w:val="003741" w:themeColor="text1"/>
              <w:lang w:val="en-US"/>
            </w:rPr>
          </w:pPr>
          <w:r w:rsidRPr="0076341B">
            <w:rPr>
              <w:rFonts w:ascii="Calibri" w:hAnsi="Calibri" w:cs="Calibri"/>
              <w:color w:val="003741" w:themeColor="text1"/>
              <w:lang w:val="en-US"/>
            </w:rPr>
            <w:t xml:space="preserve">26. </w:t>
          </w:r>
          <w:r w:rsidR="0076341B" w:rsidRPr="0076341B">
            <w:rPr>
              <w:rFonts w:ascii="Calibri" w:hAnsi="Calibri" w:cs="Calibri"/>
              <w:color w:val="003741" w:themeColor="text1"/>
              <w:lang w:val="en-US"/>
            </w:rPr>
            <w:t>February</w:t>
          </w:r>
          <w:r w:rsidRPr="0076341B">
            <w:rPr>
              <w:rFonts w:ascii="Calibri" w:hAnsi="Calibri" w:cs="Calibri"/>
              <w:color w:val="003741" w:themeColor="text1"/>
              <w:lang w:val="en-US"/>
            </w:rPr>
            <w:t xml:space="preserve"> 2026</w:t>
          </w:r>
        </w:p>
        <w:bookmarkEnd w:id="0" w:displacedByCustomXml="next"/>
      </w:sdtContent>
    </w:sdt>
    <w:p w14:paraId="5335E1E4" w14:textId="47E34CEB" w:rsidR="001B2D98" w:rsidRPr="0076341B" w:rsidRDefault="001B2D98" w:rsidP="001B2D98">
      <w:pPr>
        <w:spacing w:after="0" w:line="276" w:lineRule="auto"/>
        <w:rPr>
          <w:rFonts w:ascii="Calibri" w:hAnsi="Calibri" w:cs="Calibri"/>
          <w:color w:val="003741" w:themeColor="text1"/>
          <w:lang w:val="en-US"/>
        </w:rPr>
      </w:pPr>
    </w:p>
    <w:p w14:paraId="760AB107" w14:textId="77777777" w:rsidR="007D228A" w:rsidRPr="0076341B" w:rsidRDefault="007D228A" w:rsidP="001B2D98">
      <w:pPr>
        <w:spacing w:after="0" w:line="276" w:lineRule="auto"/>
        <w:rPr>
          <w:rFonts w:ascii="Calibri" w:hAnsi="Calibri" w:cs="Calibri"/>
          <w:color w:val="003741" w:themeColor="text1"/>
          <w:lang w:val="en-US"/>
        </w:rPr>
      </w:pPr>
    </w:p>
    <w:p w14:paraId="706DD1A2" w14:textId="79C2E5E4" w:rsidR="007D228A" w:rsidRDefault="001B2D98" w:rsidP="001B2D98">
      <w:pPr>
        <w:spacing w:after="0" w:line="276" w:lineRule="auto"/>
        <w:rPr>
          <w:rFonts w:ascii="Calibri" w:hAnsi="Calibri" w:cs="Calibri"/>
          <w:color w:val="003741" w:themeColor="text1"/>
          <w:sz w:val="20"/>
          <w:szCs w:val="20"/>
          <w:lang w:val="en-US"/>
        </w:rPr>
      </w:pPr>
      <w:r w:rsidRPr="007D228A">
        <w:rPr>
          <w:rFonts w:ascii="Calibri" w:hAnsi="Calibri" w:cs="Calibri"/>
          <w:color w:val="003741" w:themeColor="text1"/>
          <w:sz w:val="20"/>
          <w:szCs w:val="20"/>
          <w:lang w:val="en-US"/>
        </w:rPr>
        <w:t xml:space="preserve">In case of any </w:t>
      </w:r>
      <w:r w:rsidR="007D228A" w:rsidRPr="007D228A">
        <w:rPr>
          <w:rFonts w:ascii="Calibri" w:hAnsi="Calibri" w:cs="Calibri"/>
          <w:color w:val="003741" w:themeColor="text1"/>
          <w:sz w:val="20"/>
          <w:szCs w:val="20"/>
          <w:lang w:val="en-US"/>
        </w:rPr>
        <w:t>uncertainties</w:t>
      </w:r>
      <w:r w:rsidRPr="007D228A">
        <w:rPr>
          <w:rFonts w:ascii="Calibri" w:hAnsi="Calibri" w:cs="Calibri"/>
          <w:color w:val="003741" w:themeColor="text1"/>
          <w:sz w:val="20"/>
          <w:szCs w:val="20"/>
          <w:lang w:val="en-US"/>
        </w:rPr>
        <w:t xml:space="preserve"> or differences between the English and the Danish versions of these Terms of Reference</w:t>
      </w:r>
      <w:r w:rsidR="007D228A" w:rsidRPr="007D228A">
        <w:rPr>
          <w:rFonts w:ascii="Calibri" w:hAnsi="Calibri" w:cs="Calibri"/>
          <w:color w:val="003741" w:themeColor="text1"/>
          <w:sz w:val="20"/>
          <w:szCs w:val="20"/>
          <w:lang w:val="en-US"/>
        </w:rPr>
        <w:t xml:space="preserve">, the Danish version takes precedence over the English version. </w:t>
      </w:r>
    </w:p>
    <w:p w14:paraId="44FA4E3E" w14:textId="77777777" w:rsidR="007D228A" w:rsidRDefault="007D228A">
      <w:pPr>
        <w:spacing w:after="0" w:line="260" w:lineRule="atLeast"/>
        <w:rPr>
          <w:rFonts w:ascii="Calibri" w:hAnsi="Calibri" w:cs="Calibri"/>
          <w:color w:val="003741" w:themeColor="text1"/>
          <w:sz w:val="20"/>
          <w:szCs w:val="20"/>
          <w:lang w:val="en-US"/>
        </w:rPr>
      </w:pPr>
      <w:r>
        <w:rPr>
          <w:rFonts w:ascii="Calibri" w:hAnsi="Calibri" w:cs="Calibri"/>
          <w:color w:val="003741" w:themeColor="text1"/>
          <w:sz w:val="20"/>
          <w:szCs w:val="20"/>
          <w:lang w:val="en-US"/>
        </w:rPr>
        <w:br w:type="page"/>
      </w:r>
    </w:p>
    <w:p w14:paraId="7E7C1873" w14:textId="7D04C2DD" w:rsidR="007D228A" w:rsidRPr="00454DA9" w:rsidRDefault="007D228A" w:rsidP="00454DA9">
      <w:pPr>
        <w:spacing w:after="0" w:line="276" w:lineRule="auto"/>
        <w:rPr>
          <w:rFonts w:ascii="Calibri" w:hAnsi="Calibri" w:cs="Calibri"/>
          <w:b/>
          <w:bCs/>
          <w:color w:val="003741" w:themeColor="text1"/>
          <w:sz w:val="24"/>
          <w:szCs w:val="24"/>
          <w:lang w:val="en-US"/>
        </w:rPr>
      </w:pPr>
      <w:r w:rsidRPr="00454DA9">
        <w:rPr>
          <w:rFonts w:ascii="Calibri" w:hAnsi="Calibri" w:cs="Calibri"/>
          <w:b/>
          <w:bCs/>
          <w:color w:val="003741" w:themeColor="text1"/>
          <w:sz w:val="24"/>
          <w:szCs w:val="24"/>
          <w:lang w:val="en-US"/>
        </w:rPr>
        <w:lastRenderedPageBreak/>
        <w:t>Terms of Reference for Grand Solutions Committee for Advanced and Critical Technologies</w:t>
      </w:r>
    </w:p>
    <w:p w14:paraId="157B4BBA" w14:textId="613A845B" w:rsidR="007D228A" w:rsidRPr="00454DA9" w:rsidRDefault="007D228A" w:rsidP="00454DA9">
      <w:pPr>
        <w:spacing w:after="0" w:line="276" w:lineRule="auto"/>
        <w:rPr>
          <w:rFonts w:ascii="Calibri" w:hAnsi="Calibri" w:cs="Calibri"/>
          <w:color w:val="003741" w:themeColor="text1"/>
          <w:sz w:val="20"/>
          <w:szCs w:val="20"/>
          <w:lang w:val="en-US"/>
        </w:rPr>
      </w:pPr>
    </w:p>
    <w:p w14:paraId="5D0C5FA5" w14:textId="5627156C" w:rsidR="007D228A" w:rsidRPr="00454DA9" w:rsidRDefault="007D228A"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 central part of the activities of Innovation Fund Denmark (hereinafter “the Fund”) is to ensure that, in connection with decisions on investments in projects, the Fund has access to relevant professional competencies and resources. The Grand Solutions program</w:t>
      </w:r>
      <w:r w:rsidR="00454DA9" w:rsidRPr="00454DA9">
        <w:rPr>
          <w:rFonts w:ascii="Calibri" w:hAnsi="Calibri" w:cs="Calibri"/>
          <w:color w:val="003741" w:themeColor="text1"/>
          <w:sz w:val="20"/>
          <w:szCs w:val="20"/>
          <w:lang w:val="en-GB"/>
        </w:rPr>
        <w:t>me</w:t>
      </w:r>
      <w:r w:rsidRPr="00454DA9">
        <w:rPr>
          <w:rFonts w:ascii="Calibri" w:hAnsi="Calibri" w:cs="Calibri"/>
          <w:color w:val="003741" w:themeColor="text1"/>
          <w:sz w:val="20"/>
          <w:szCs w:val="20"/>
          <w:lang w:val="en-GB"/>
        </w:rPr>
        <w:t xml:space="preserve"> is </w:t>
      </w:r>
      <w:r w:rsidR="00454DA9" w:rsidRPr="00454DA9">
        <w:rPr>
          <w:rFonts w:ascii="Calibri" w:hAnsi="Calibri" w:cs="Calibri"/>
          <w:color w:val="003741" w:themeColor="text1"/>
          <w:sz w:val="20"/>
          <w:szCs w:val="20"/>
          <w:lang w:val="en-GB"/>
        </w:rPr>
        <w:t>characterised</w:t>
      </w:r>
      <w:r w:rsidRPr="00454DA9">
        <w:rPr>
          <w:rFonts w:ascii="Calibri" w:hAnsi="Calibri" w:cs="Calibri"/>
          <w:color w:val="003741" w:themeColor="text1"/>
          <w:sz w:val="20"/>
          <w:szCs w:val="20"/>
          <w:lang w:val="en-GB"/>
        </w:rPr>
        <w:t xml:space="preserve"> by ambitious and interdisciplinary research and innovation projects with the potential to create significant impact and new solutions to important politically </w:t>
      </w:r>
      <w:r w:rsidR="00454DA9" w:rsidRPr="00454DA9">
        <w:rPr>
          <w:rFonts w:ascii="Calibri" w:hAnsi="Calibri" w:cs="Calibri"/>
          <w:color w:val="003741" w:themeColor="text1"/>
          <w:sz w:val="20"/>
          <w:szCs w:val="20"/>
          <w:lang w:val="en-GB"/>
        </w:rPr>
        <w:t>prioritised</w:t>
      </w:r>
      <w:r w:rsidRPr="00454DA9">
        <w:rPr>
          <w:rFonts w:ascii="Calibri" w:hAnsi="Calibri" w:cs="Calibri"/>
          <w:color w:val="003741" w:themeColor="text1"/>
          <w:sz w:val="20"/>
          <w:szCs w:val="20"/>
          <w:lang w:val="en-GB"/>
        </w:rPr>
        <w:t xml:space="preserve"> societal challenges. The Fund therefore wishes applications to the programme to be assessed and decided upon by both individuals who can evaluate the commercial and societal impact for Denmark, and internationally recognised researchers who can assess the scientific quality at an international level.</w:t>
      </w:r>
    </w:p>
    <w:p w14:paraId="2239D1C1" w14:textId="3111A915" w:rsidR="007D228A" w:rsidRPr="00454DA9" w:rsidRDefault="007D228A"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 the need for professional competencies may vary depending on, for example, the framework of current appropriation acts, the Board’s priorities, and the applications received, there is a need to dynamically establish and adapt committees that possess the most relevant expertise within the domains related to the politically defined themes under which the Grand Solutions programme allocates funding.</w:t>
      </w:r>
    </w:p>
    <w:p w14:paraId="28542313" w14:textId="7940C5DF" w:rsidR="007D228A" w:rsidRPr="00454DA9" w:rsidRDefault="0076341B" w:rsidP="00454DA9">
      <w:pPr>
        <w:spacing w:line="276" w:lineRule="auto"/>
        <w:rPr>
          <w:rFonts w:ascii="Calibri" w:hAnsi="Calibri" w:cs="Calibri"/>
          <w:color w:val="003741" w:themeColor="text1"/>
          <w:sz w:val="20"/>
          <w:szCs w:val="20"/>
          <w:lang w:val="en-GB"/>
        </w:rPr>
      </w:pPr>
      <w:r>
        <w:rPr>
          <w:rFonts w:ascii="Calibri" w:hAnsi="Calibri" w:cs="Calibri"/>
          <w:color w:val="003741" w:themeColor="text1"/>
          <w:sz w:val="20"/>
          <w:szCs w:val="20"/>
          <w:lang w:val="en-GB"/>
        </w:rPr>
        <w:t>In accordance with</w:t>
      </w:r>
      <w:r w:rsidR="007D228A" w:rsidRPr="00454DA9">
        <w:rPr>
          <w:rFonts w:ascii="Calibri" w:hAnsi="Calibri" w:cs="Calibri"/>
          <w:color w:val="003741" w:themeColor="text1"/>
          <w:sz w:val="20"/>
          <w:szCs w:val="20"/>
          <w:lang w:val="en-GB"/>
        </w:rPr>
        <w:t xml:space="preserve"> Section 12 of the Act on Innovation Fund Denmark (cf. Consolidated Act No. 156 of 13 February 2025) (hereinafter “the Act”), the Board of the Fund therefore establishes a committee tasked with carrying out professional assessments and decisions on funding in connection with the Fund’s investments</w:t>
      </w:r>
      <w:r>
        <w:rPr>
          <w:rStyle w:val="Fodnotehenvisning"/>
          <w:rFonts w:ascii="Calibri" w:hAnsi="Calibri" w:cs="Calibri"/>
          <w:color w:val="003741" w:themeColor="text1"/>
          <w:sz w:val="20"/>
          <w:szCs w:val="20"/>
          <w:lang w:val="en-GB"/>
        </w:rPr>
        <w:footnoteReference w:id="1"/>
      </w:r>
      <w:r w:rsidR="007D228A" w:rsidRPr="00454DA9">
        <w:rPr>
          <w:rFonts w:ascii="Calibri" w:hAnsi="Calibri" w:cs="Calibri"/>
          <w:color w:val="003741" w:themeColor="text1"/>
          <w:sz w:val="20"/>
          <w:szCs w:val="20"/>
          <w:lang w:val="en-GB"/>
        </w:rPr>
        <w:t xml:space="preserve"> within new, advanced, and critical technological areas (hereinafter “the Themes”): the Grand Solutions Committee for Advanced and Critical Technologies (hereinafter “the Committee”). The Themes are further defined in the relevant call texts applicable to the Committee.</w:t>
      </w:r>
    </w:p>
    <w:p w14:paraId="289436AE" w14:textId="74D31F23" w:rsidR="007D228A" w:rsidRPr="00454DA9" w:rsidRDefault="007D228A"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function of the Committee is to assess applications to the Grand Solutions programme within the Themes and to decide which of these are to receive funding, cf. the process described in the applicable Grand Solutions guidelines at any given time.</w:t>
      </w:r>
    </w:p>
    <w:p w14:paraId="5066D15C" w14:textId="625E7A59" w:rsidR="007D228A" w:rsidRPr="00454DA9" w:rsidRDefault="007D228A"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Committee consists of 12–22 members, adjusted to the needs related to the academic breadth of the Themes and the expected volume of applications. A Chair and a Vice-Chair (hereinafter “the Chairmanship”) are appointed among the members.</w:t>
      </w:r>
    </w:p>
    <w:p w14:paraId="636144F4" w14:textId="5D889341" w:rsidR="007D228A" w:rsidRPr="00454DA9" w:rsidRDefault="007D228A"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Members and the Chairmanship are appointed in their personal capacity and may not be represented by others. No alternates are appointed.</w:t>
      </w:r>
    </w:p>
    <w:p w14:paraId="67860224" w14:textId="5B86062B" w:rsidR="007D228A" w:rsidRPr="00454DA9" w:rsidRDefault="007D228A"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Members, including the Chairmanship, may be affiliated with multiple committees under the Fund’s programmes. However, committee members, including the Chairmanship, may not simultaneously serve on the Fund’s Board.</w:t>
      </w:r>
    </w:p>
    <w:p w14:paraId="7E8CF617" w14:textId="346DB04B" w:rsidR="00D72EBE" w:rsidRPr="00454DA9" w:rsidRDefault="007D228A"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Board’s ongoing supervision of the Committee is carried out on its behalf by the Programme Oversight Committee.</w:t>
      </w:r>
    </w:p>
    <w:p w14:paraId="3202E4D3" w14:textId="6D7D0C45" w:rsidR="00454DA9" w:rsidRPr="00454DA9" w:rsidRDefault="00454DA9" w:rsidP="00454DA9">
      <w:pPr>
        <w:pStyle w:val="Listeafsnit"/>
        <w:numPr>
          <w:ilvl w:val="0"/>
          <w:numId w:val="14"/>
        </w:numPr>
        <w:spacing w:line="276" w:lineRule="auto"/>
        <w:rPr>
          <w:rFonts w:ascii="Calibri" w:hAnsi="Calibri" w:cs="Calibri"/>
          <w:b/>
          <w:bCs/>
          <w:color w:val="003741" w:themeColor="text1"/>
          <w:sz w:val="20"/>
          <w:szCs w:val="20"/>
          <w:lang w:val="en-GB"/>
        </w:rPr>
      </w:pPr>
      <w:r w:rsidRPr="00454DA9">
        <w:rPr>
          <w:rFonts w:ascii="Calibri" w:hAnsi="Calibri" w:cs="Calibri"/>
          <w:b/>
          <w:bCs/>
          <w:color w:val="003741" w:themeColor="text1"/>
          <w:sz w:val="20"/>
          <w:szCs w:val="20"/>
          <w:lang w:val="en-GB"/>
        </w:rPr>
        <w:t>Process and Criteria for Appointment of Chair and Members</w:t>
      </w:r>
    </w:p>
    <w:p w14:paraId="159F3BBC" w14:textId="77777777"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Committee is composed so that the members’ competencies reflect the Committee’s professional and functional responsibilities. Collectively, the members must possess the competencies necessary to assess the quality, impact, and relevance of applications, including research activities, as described in the annual calls and the applications received. At least half of the members must meet the requirements of recognised researchers, cf. Section 18(2) of the Act.</w:t>
      </w:r>
    </w:p>
    <w:p w14:paraId="18C35631" w14:textId="77777777" w:rsidR="00454DA9" w:rsidRPr="00454DA9" w:rsidRDefault="00454DA9" w:rsidP="00454DA9">
      <w:pPr>
        <w:spacing w:line="276" w:lineRule="auto"/>
        <w:rPr>
          <w:rFonts w:ascii="Calibri" w:hAnsi="Calibri" w:cs="Calibri"/>
          <w:color w:val="003741" w:themeColor="text1"/>
          <w:sz w:val="20"/>
          <w:szCs w:val="20"/>
          <w:lang w:val="en-GB"/>
        </w:rPr>
      </w:pPr>
    </w:p>
    <w:p w14:paraId="18CE66CD" w14:textId="77777777"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Board appoints the members, including the Chairmanship, cf. Section 13(2) of the Act. The Programme Oversight Committee may decide on appointments on behalf of the Board. Upon appointment, members enter into a formal letter of appointment with the Fund.</w:t>
      </w:r>
    </w:p>
    <w:p w14:paraId="633D798A" w14:textId="77777777"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Board and the Programme Oversight Committee may dismiss members with the notice specified in the appointment agreement and may appoint new members at any time.</w:t>
      </w:r>
    </w:p>
    <w:p w14:paraId="08252A0D" w14:textId="77777777"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To be nominated and appointed, members must possess:</w:t>
      </w:r>
    </w:p>
    <w:p w14:paraId="6474A54C" w14:textId="77777777" w:rsidR="00454DA9" w:rsidRPr="00454DA9" w:rsidRDefault="00454DA9" w:rsidP="00454DA9">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Solid and extensive knowledge and recent experience within one or more specific professional areas related to the Themes</w:t>
      </w:r>
    </w:p>
    <w:p w14:paraId="14193CF0" w14:textId="6E9BA778" w:rsidR="00454DA9" w:rsidRPr="00454DA9" w:rsidRDefault="00454DA9" w:rsidP="00454DA9">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High-level proficiency in English, including technical terminology within the Themes</w:t>
      </w:r>
    </w:p>
    <w:p w14:paraId="60EFF7A7" w14:textId="77777777"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In addition, members must either meet all of the following criteria:</w:t>
      </w:r>
    </w:p>
    <w:p w14:paraId="036588CD" w14:textId="77777777" w:rsidR="00454DA9" w:rsidRPr="00454DA9" w:rsidRDefault="00454DA9" w:rsidP="00454DA9">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Have been actively engaged in research at a scientific level for a number of years and be at least at associate professor or senior researcher level, thereby qualifying as a recognised researcher under Section 18(2) of the Act</w:t>
      </w:r>
    </w:p>
    <w:p w14:paraId="144A0B0D" w14:textId="2A329D6E" w:rsidR="00454DA9" w:rsidRPr="00454DA9" w:rsidRDefault="00454DA9" w:rsidP="00454DA9">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Be or have recently been affiliated with a foreign research institution</w:t>
      </w:r>
    </w:p>
    <w:p w14:paraId="69C801A3" w14:textId="77777777"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or meet all of the following criteria:</w:t>
      </w:r>
    </w:p>
    <w:p w14:paraId="59E445B8" w14:textId="77777777" w:rsidR="00454DA9" w:rsidRPr="00454DA9" w:rsidRDefault="00454DA9" w:rsidP="00454DA9">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Have significant experience with the commercialisation and implementation of research results from the private or public sector in Denmark and preferably internationally</w:t>
      </w:r>
    </w:p>
    <w:p w14:paraId="63E4B343" w14:textId="77777777" w:rsidR="00454DA9" w:rsidRPr="00454DA9" w:rsidRDefault="00454DA9" w:rsidP="00454DA9">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Be or have recently been employed in the private or public sector (but not actively employed at Danish universities beyond adjunct roles) within a domain related to the Themes</w:t>
      </w:r>
    </w:p>
    <w:p w14:paraId="1D47E67A" w14:textId="09E9A828" w:rsidR="00454DA9" w:rsidRPr="00454DA9" w:rsidRDefault="00454DA9" w:rsidP="00454DA9">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Be able to assess the commercial and societal impact of project applications and their strategic relevance for Denmark</w:t>
      </w:r>
    </w:p>
    <w:p w14:paraId="3D180FF3" w14:textId="77777777"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At least half of the members must meet criteria III–IV. The Chair must meet criteria V–VII, while the Vice-Chair must meet criteria III–IV.</w:t>
      </w:r>
    </w:p>
    <w:p w14:paraId="3A1C7384" w14:textId="77777777"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Committee is composed to ensure the necessary breadth of competencies across the domains characterising Grand Solutions applications within the Themes. It is also composed with attention to diversity, including sector background, gender, and geographical affiliation.</w:t>
      </w:r>
    </w:p>
    <w:p w14:paraId="6F1101D6" w14:textId="57BDFC09"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Fund maintains an updated list of Committee members on its website.</w:t>
      </w:r>
    </w:p>
    <w:p w14:paraId="17D10922" w14:textId="06DBE209" w:rsidR="00454DA9" w:rsidRPr="00454DA9" w:rsidRDefault="00454DA9" w:rsidP="00454DA9">
      <w:pPr>
        <w:pStyle w:val="Listeafsnit"/>
        <w:numPr>
          <w:ilvl w:val="0"/>
          <w:numId w:val="14"/>
        </w:numPr>
        <w:spacing w:line="276" w:lineRule="auto"/>
        <w:rPr>
          <w:rFonts w:ascii="Calibri" w:hAnsi="Calibri" w:cs="Calibri"/>
          <w:b/>
          <w:bCs/>
          <w:color w:val="003741" w:themeColor="text1"/>
          <w:sz w:val="20"/>
          <w:szCs w:val="20"/>
          <w:lang w:val="en-GB"/>
        </w:rPr>
      </w:pPr>
      <w:r w:rsidRPr="00454DA9">
        <w:rPr>
          <w:rFonts w:ascii="Calibri" w:hAnsi="Calibri" w:cs="Calibri"/>
          <w:b/>
          <w:bCs/>
          <w:color w:val="003741" w:themeColor="text1"/>
          <w:sz w:val="20"/>
          <w:szCs w:val="20"/>
          <w:lang w:val="en-GB"/>
        </w:rPr>
        <w:t xml:space="preserve"> Term of Appointment</w:t>
      </w:r>
    </w:p>
    <w:p w14:paraId="519051F0" w14:textId="77777777"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Committee is established as a standing committee by the Board and may be dissolved by the Board.</w:t>
      </w:r>
    </w:p>
    <w:p w14:paraId="41D7EE1A" w14:textId="77777777"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Members, including the Chairmanship, are appointed for a term of up to three years. Reappointment is possible up to a total of six years. After stepping down, reappointment may occur no earlier than three years later, after which the individual may again be appointed for one or more terms totalling up to six years.</w:t>
      </w:r>
    </w:p>
    <w:p w14:paraId="2E7AD849" w14:textId="2E2A6502"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Board may replace members on an ongoing basis to ensure the necessary composition of competencies.</w:t>
      </w:r>
    </w:p>
    <w:p w14:paraId="668958AE" w14:textId="77777777" w:rsidR="00454DA9" w:rsidRPr="00454DA9" w:rsidRDefault="00454DA9" w:rsidP="00454DA9">
      <w:pPr>
        <w:spacing w:after="0"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br w:type="page"/>
      </w:r>
    </w:p>
    <w:p w14:paraId="43A2F28E" w14:textId="505CC7D1" w:rsidR="00454DA9" w:rsidRPr="00454DA9" w:rsidRDefault="00454DA9" w:rsidP="00454DA9">
      <w:pPr>
        <w:pStyle w:val="Listeafsnit"/>
        <w:numPr>
          <w:ilvl w:val="0"/>
          <w:numId w:val="14"/>
        </w:numPr>
        <w:spacing w:line="276" w:lineRule="auto"/>
        <w:rPr>
          <w:rFonts w:ascii="Calibri" w:hAnsi="Calibri" w:cs="Calibri"/>
          <w:b/>
          <w:bCs/>
          <w:color w:val="003741" w:themeColor="text1"/>
          <w:sz w:val="20"/>
          <w:szCs w:val="20"/>
          <w:lang w:val="en-GB"/>
        </w:rPr>
      </w:pPr>
      <w:r w:rsidRPr="00454DA9">
        <w:rPr>
          <w:rFonts w:ascii="Calibri" w:hAnsi="Calibri" w:cs="Calibri"/>
          <w:b/>
          <w:bCs/>
          <w:color w:val="003741" w:themeColor="text1"/>
          <w:sz w:val="20"/>
          <w:szCs w:val="20"/>
          <w:lang w:val="en-GB"/>
        </w:rPr>
        <w:lastRenderedPageBreak/>
        <w:t xml:space="preserve"> Tasks of the Committee</w:t>
      </w:r>
    </w:p>
    <w:p w14:paraId="7E7035D7" w14:textId="77777777"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Each member contributes to the Committee’s assessments and decisions on applications through preparatory work and participation in meetings.</w:t>
      </w:r>
    </w:p>
    <w:p w14:paraId="5B0D667B" w14:textId="77777777"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Members are responsible for:</w:t>
      </w:r>
    </w:p>
    <w:p w14:paraId="467458AE" w14:textId="77777777" w:rsidR="00454DA9" w:rsidRPr="00454DA9" w:rsidRDefault="00454DA9" w:rsidP="00454DA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Preparing for meetings by producing written assessments of applications in accordance with current guidelines</w:t>
      </w:r>
    </w:p>
    <w:p w14:paraId="50EDDC67" w14:textId="77777777" w:rsidR="00454DA9" w:rsidRPr="00454DA9" w:rsidRDefault="00454DA9" w:rsidP="00454DA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Participating in meetings to discuss and qualify assessments and make decisions</w:t>
      </w:r>
    </w:p>
    <w:p w14:paraId="1640C0C6" w14:textId="77777777" w:rsidR="00454DA9" w:rsidRPr="00454DA9" w:rsidRDefault="00454DA9" w:rsidP="00454DA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Drafting individual rejection justifications in collaboration with other members</w:t>
      </w:r>
    </w:p>
    <w:p w14:paraId="7182650A" w14:textId="77777777" w:rsidR="00454DA9" w:rsidRPr="00454DA9" w:rsidRDefault="00454DA9" w:rsidP="00454DA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Reviewing and weighing evaluations from external reviewers and any consultation responses</w:t>
      </w:r>
    </w:p>
    <w:p w14:paraId="60A2971E" w14:textId="77777777" w:rsidR="00454DA9" w:rsidRPr="00454DA9" w:rsidRDefault="00454DA9" w:rsidP="00454DA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Reviewing notes with formal and administrative remarks from the Secretariat</w:t>
      </w:r>
    </w:p>
    <w:p w14:paraId="4DA88628" w14:textId="77777777" w:rsidR="00454DA9" w:rsidRPr="00454DA9" w:rsidRDefault="00454DA9" w:rsidP="00454DA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Participating in training and onboarding processes to ensure proper assessment practices, compliance, and procedures</w:t>
      </w:r>
    </w:p>
    <w:p w14:paraId="4AC986C8" w14:textId="77777777" w:rsidR="00454DA9" w:rsidRPr="00454DA9" w:rsidRDefault="00454DA9" w:rsidP="00454DA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Elaborating on assessments upon request in case of appeals</w:t>
      </w:r>
    </w:p>
    <w:p w14:paraId="5251E62C" w14:textId="77777777" w:rsidR="00454DA9" w:rsidRPr="00454DA9" w:rsidRDefault="00454DA9" w:rsidP="00454DA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Contributing to follow-up decisions during the investment agreement phase</w:t>
      </w:r>
    </w:p>
    <w:p w14:paraId="4FFA9ED8" w14:textId="77777777" w:rsidR="00454DA9" w:rsidRPr="00454DA9" w:rsidRDefault="00454DA9" w:rsidP="00454DA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Providing input to support updates to strategy, calls, and guidelines</w:t>
      </w:r>
    </w:p>
    <w:p w14:paraId="476574B8" w14:textId="30E15806" w:rsidR="00454DA9" w:rsidRPr="00454DA9" w:rsidRDefault="00454DA9" w:rsidP="00454DA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Assisting with oversight processes upon request</w:t>
      </w:r>
    </w:p>
    <w:p w14:paraId="7880EE62" w14:textId="77777777"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In addition, the Chair and Vice-Chair are expected to:</w:t>
      </w:r>
    </w:p>
    <w:p w14:paraId="59E8230A" w14:textId="77777777" w:rsidR="00454DA9" w:rsidRPr="00454DA9" w:rsidRDefault="00454DA9" w:rsidP="00454DA9">
      <w:pPr>
        <w:pStyle w:val="Listeafsnit"/>
        <w:numPr>
          <w:ilvl w:val="0"/>
          <w:numId w:val="18"/>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Allocate applications for written assessment among members</w:t>
      </w:r>
    </w:p>
    <w:p w14:paraId="04DF091B" w14:textId="77777777" w:rsidR="00454DA9" w:rsidRPr="00454DA9" w:rsidRDefault="00454DA9" w:rsidP="00454DA9">
      <w:pPr>
        <w:pStyle w:val="Listeafsnit"/>
        <w:numPr>
          <w:ilvl w:val="0"/>
          <w:numId w:val="18"/>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Assign applications to external reviewers</w:t>
      </w:r>
    </w:p>
    <w:p w14:paraId="3DDB26C1" w14:textId="35833041" w:rsidR="00454DA9" w:rsidRPr="00454DA9" w:rsidRDefault="00454DA9" w:rsidP="00454DA9">
      <w:pPr>
        <w:pStyle w:val="Listeafsnit"/>
        <w:numPr>
          <w:ilvl w:val="0"/>
          <w:numId w:val="18"/>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Participate in status and dialogue meetings with the Board and Secretariat</w:t>
      </w:r>
    </w:p>
    <w:p w14:paraId="2E44BD47" w14:textId="77777777"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Chair is further responsible for:</w:t>
      </w:r>
    </w:p>
    <w:p w14:paraId="2FDBCDC5" w14:textId="77777777" w:rsidR="00454DA9" w:rsidRPr="00454DA9" w:rsidRDefault="00454DA9" w:rsidP="00454DA9">
      <w:pPr>
        <w:pStyle w:val="Listeafsnit"/>
        <w:numPr>
          <w:ilvl w:val="0"/>
          <w:numId w:val="18"/>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Leading meetings and ensuring minutes are recorded</w:t>
      </w:r>
    </w:p>
    <w:p w14:paraId="17D06378" w14:textId="77777777" w:rsidR="00454DA9" w:rsidRPr="00454DA9" w:rsidRDefault="00454DA9" w:rsidP="00454DA9">
      <w:pPr>
        <w:pStyle w:val="Listeafsnit"/>
        <w:numPr>
          <w:ilvl w:val="0"/>
          <w:numId w:val="18"/>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Quality-assuring rejection justifications</w:t>
      </w:r>
    </w:p>
    <w:p w14:paraId="1FFEB8C4" w14:textId="77777777" w:rsidR="00454DA9" w:rsidRPr="00454DA9" w:rsidRDefault="00454DA9" w:rsidP="00454DA9">
      <w:pPr>
        <w:pStyle w:val="Listeafsnit"/>
        <w:numPr>
          <w:ilvl w:val="0"/>
          <w:numId w:val="18"/>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Handling conflicts of interest (impartiality) matters</w:t>
      </w:r>
    </w:p>
    <w:p w14:paraId="657734B9" w14:textId="00F05BCF" w:rsidR="00454DA9" w:rsidRPr="00454DA9" w:rsidRDefault="00454DA9" w:rsidP="00454DA9">
      <w:pPr>
        <w:pStyle w:val="Listeafsnit"/>
        <w:numPr>
          <w:ilvl w:val="0"/>
          <w:numId w:val="18"/>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Assessing whether the Committee’s composition reflects the Themes and identifying competency gaps</w:t>
      </w:r>
    </w:p>
    <w:p w14:paraId="2B71DA90" w14:textId="0A030343" w:rsidR="00454DA9" w:rsidRPr="00454DA9" w:rsidRDefault="00454DA9" w:rsidP="00454DA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Vice-Chair assumes the Chair’s responsibilities in case of absence.</w:t>
      </w:r>
    </w:p>
    <w:p w14:paraId="0D40FFE4" w14:textId="51D5AD46" w:rsidR="00454DA9" w:rsidRPr="00454DA9" w:rsidRDefault="00454DA9" w:rsidP="00454DA9">
      <w:pPr>
        <w:pStyle w:val="Listeafsnit"/>
        <w:numPr>
          <w:ilvl w:val="0"/>
          <w:numId w:val="14"/>
        </w:numPr>
        <w:spacing w:line="276" w:lineRule="auto"/>
        <w:rPr>
          <w:rFonts w:ascii="Calibri" w:hAnsi="Calibri" w:cs="Calibri"/>
          <w:b/>
          <w:bCs/>
          <w:color w:val="003741" w:themeColor="text1"/>
          <w:sz w:val="20"/>
          <w:szCs w:val="20"/>
          <w:lang w:val="en-GB"/>
        </w:rPr>
      </w:pPr>
      <w:r w:rsidRPr="00454DA9">
        <w:rPr>
          <w:rFonts w:ascii="Calibri" w:hAnsi="Calibri" w:cs="Calibri"/>
          <w:b/>
          <w:bCs/>
          <w:color w:val="003741" w:themeColor="text1"/>
          <w:sz w:val="20"/>
          <w:szCs w:val="20"/>
          <w:lang w:val="en-GB"/>
        </w:rPr>
        <w:t>Assessment Process</w:t>
      </w:r>
    </w:p>
    <w:p w14:paraId="4D350ECE" w14:textId="77777777" w:rsidR="00E46B92" w:rsidRPr="00E46B92" w:rsidRDefault="00E46B92" w:rsidP="00E46B92">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overall assessment process is set out in the applicable guidelines for the Grand Solutions programme in force at any given time. Only applications that meet the formal eligibility requirements are considered by the Committee. The Committee is responsible for conducting the professional assessments and for making funding decisions.</w:t>
      </w:r>
    </w:p>
    <w:p w14:paraId="334DF4E9" w14:textId="77777777" w:rsidR="00E46B92" w:rsidRPr="00E46B92" w:rsidRDefault="00E46B92" w:rsidP="00E46B92">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For each call on which the Committee is to decide, the assessment is conducted in two phases in accordance with the applicable Grand Solutions guidelines. In the first phase, the Committee determines which applicants are to be invited to submit a full application for assessment in the second phase. In the second phase, the Committee decides which Grand Solutions projects are to receive funding. In both phases, supplementary external expert reviews and related consultation procedures may be included, facilitated by the Fund’s Secretariat.</w:t>
      </w:r>
    </w:p>
    <w:p w14:paraId="6FF37C5E" w14:textId="77777777" w:rsidR="00E46B92" w:rsidRPr="00E46B92" w:rsidRDefault="00E46B92" w:rsidP="00E46B92">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With the assistance of the Secretariat, the Chairmanship assigns individual applications for written pre-assessment to a number of members determined by the Chairmanship. These assessments are prepared in accordance with the applicable instructions for the Committee and the Grand Solutions programme guidelines.</w:t>
      </w:r>
    </w:p>
    <w:p w14:paraId="25668E73" w14:textId="77777777" w:rsidR="00E46B92" w:rsidRPr="00E46B92" w:rsidRDefault="00E46B92" w:rsidP="00E46B92">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lastRenderedPageBreak/>
        <w:t>At Committee meetings, all applications are reviewed and prioritised. Any assessments provided by external reviewers, as well as consultation responses received in connection with such reviews, are also considered and weighed as part of the decision-making process. The Secretariat subsequently prepares a record of decisions, which is submitted to the Committee for approval.</w:t>
      </w:r>
    </w:p>
    <w:p w14:paraId="6D055DB2" w14:textId="066247E3" w:rsidR="00E46B92" w:rsidRPr="00217BB2" w:rsidRDefault="00E46B92" w:rsidP="00E46B92">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GB"/>
        </w:rPr>
        <w:t xml:space="preserve">At the Committee’s request, the Secretariat assists with the preparation and practical organisation of meetings. Secretariat staff attend Committee meetings to provide advice and ensure compliance with the programme guidelines and relevant legislation but do not take part in the professional assessments. </w:t>
      </w:r>
      <w:r w:rsidR="00217BB2" w:rsidRPr="00217BB2">
        <w:rPr>
          <w:rFonts w:ascii="Calibri" w:hAnsi="Calibri" w:cs="Calibri"/>
          <w:color w:val="003741" w:themeColor="text1"/>
          <w:sz w:val="20"/>
          <w:szCs w:val="20"/>
          <w:lang w:val="en-GB"/>
        </w:rPr>
        <w:t>Meetings are generally chaired by the Chair.</w:t>
      </w:r>
    </w:p>
    <w:p w14:paraId="4D12E200" w14:textId="77777777" w:rsidR="00E46B92" w:rsidRPr="00E46B92" w:rsidRDefault="00E46B92" w:rsidP="00E46B92">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Committee constitutes a quorum when at least half of its members are present.</w:t>
      </w:r>
    </w:p>
    <w:p w14:paraId="699BC933" w14:textId="77777777" w:rsidR="00E46B92" w:rsidRPr="00E46B92" w:rsidRDefault="00E46B92" w:rsidP="00E46B92">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One or more members of the Board may, at the Board’s request, attend Committee meetings as observers, including for the purpose of ensuring dialogue and providing input in relation to the Board’s decisions on the allocation of funding, cf. Section 27(7) of the Board’s rules of procedure.</w:t>
      </w:r>
    </w:p>
    <w:p w14:paraId="67548100" w14:textId="77777777" w:rsidR="00E46B92" w:rsidRPr="00E46B92" w:rsidRDefault="00E46B92" w:rsidP="00E46B92">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Committee’s assessments and decisions must be documented in written statements of reasons, enabling the Fund to assess both formally and substantively the basis for the Committee’s decisions. The Committee must also ensure that the statements of reasons meet the requirements of administrative law, thereby enabling the Fund to issue legally sound decisions to applicants.</w:t>
      </w:r>
    </w:p>
    <w:p w14:paraId="1E52FD5C" w14:textId="77777777" w:rsidR="00E46B92" w:rsidRPr="00E46B92" w:rsidRDefault="00E46B92" w:rsidP="00E46B92">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Committee shall seek to reach consensus and, to the greatest extent possible, work towards agreement in its decisions on both rejections and grants. In the event of disagreement, decisions are made by vote, with each member present having one vote. In the event of a tie, the Chair—or, in the Chair’s absence, the Vice-Chair—has the casting vote. Once the Committee has made a funding decision and communicated it to the Secretariat, responsibility for implementation and follow-up is transferred to the Secretariat.</w:t>
      </w:r>
    </w:p>
    <w:p w14:paraId="4B5B98A3" w14:textId="119D4FA4" w:rsidR="00454DA9" w:rsidRDefault="00E46B92" w:rsidP="00E46B92">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If, prior to the conclusion of an investment agreement, an applicant requests material changes to an application that has not been rejected, the Secretariat may submit the request to the Committee for assessment. In such cases, the Committee must assess the amended application in its entirety, including its continued eligibility for funding.</w:t>
      </w:r>
    </w:p>
    <w:p w14:paraId="3BC64670" w14:textId="5F140182" w:rsidR="00E46B92" w:rsidRPr="00E46B92" w:rsidRDefault="00E46B92" w:rsidP="00E46B92">
      <w:pPr>
        <w:pStyle w:val="Listeafsnit"/>
        <w:numPr>
          <w:ilvl w:val="0"/>
          <w:numId w:val="14"/>
        </w:numPr>
        <w:spacing w:line="276" w:lineRule="auto"/>
        <w:rPr>
          <w:rFonts w:ascii="Calibri" w:hAnsi="Calibri" w:cs="Calibri"/>
          <w:b/>
          <w:bCs/>
          <w:color w:val="003741" w:themeColor="text1"/>
          <w:sz w:val="20"/>
          <w:szCs w:val="20"/>
          <w:lang w:val="en-US"/>
        </w:rPr>
      </w:pPr>
      <w:r w:rsidRPr="00E46B92">
        <w:rPr>
          <w:rFonts w:ascii="Calibri" w:hAnsi="Calibri" w:cs="Calibri"/>
          <w:b/>
          <w:bCs/>
          <w:color w:val="003741" w:themeColor="text1"/>
          <w:sz w:val="20"/>
          <w:szCs w:val="20"/>
          <w:lang w:val="en-US"/>
        </w:rPr>
        <w:t>Confidentiality</w:t>
      </w:r>
    </w:p>
    <w:p w14:paraId="5B0512EE" w14:textId="5BC49D45" w:rsidR="00E46B92" w:rsidRDefault="00E46B92" w:rsidP="00E46B92">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Members of the Committee are subject to a duty of confidentiality pursuant to the Danish Administrat</w:t>
      </w:r>
      <w:r w:rsidR="00217BB2">
        <w:rPr>
          <w:rFonts w:ascii="Calibri" w:hAnsi="Calibri" w:cs="Calibri"/>
          <w:color w:val="003741" w:themeColor="text1"/>
          <w:sz w:val="20"/>
          <w:szCs w:val="20"/>
          <w:lang w:val="en-US"/>
        </w:rPr>
        <w:t>ive Law</w:t>
      </w:r>
      <w:r w:rsidRPr="00E46B92">
        <w:rPr>
          <w:rFonts w:ascii="Calibri" w:hAnsi="Calibri" w:cs="Calibri"/>
          <w:color w:val="003741" w:themeColor="text1"/>
          <w:sz w:val="20"/>
          <w:szCs w:val="20"/>
          <w:lang w:val="en-US"/>
        </w:rPr>
        <w:t xml:space="preserve"> and the Danish Criminal </w:t>
      </w:r>
      <w:r w:rsidR="00217BB2">
        <w:rPr>
          <w:rFonts w:ascii="Calibri" w:hAnsi="Calibri" w:cs="Calibri"/>
          <w:color w:val="003741" w:themeColor="text1"/>
          <w:sz w:val="20"/>
          <w:szCs w:val="20"/>
          <w:lang w:val="en-US"/>
        </w:rPr>
        <w:t>Law</w:t>
      </w:r>
      <w:r w:rsidRPr="00E46B92">
        <w:rPr>
          <w:rFonts w:ascii="Calibri" w:hAnsi="Calibri" w:cs="Calibri"/>
          <w:color w:val="003741" w:themeColor="text1"/>
          <w:sz w:val="20"/>
          <w:szCs w:val="20"/>
          <w:lang w:val="en-US"/>
        </w:rPr>
        <w:t xml:space="preserve"> with regard to any information they obtain in their capacity as members of the Committee.</w:t>
      </w:r>
    </w:p>
    <w:p w14:paraId="36422AF1" w14:textId="301A3BDD" w:rsidR="00E46B92" w:rsidRPr="00E46B92" w:rsidRDefault="00E46B92" w:rsidP="00E46B92">
      <w:pPr>
        <w:pStyle w:val="Listeafsnit"/>
        <w:numPr>
          <w:ilvl w:val="0"/>
          <w:numId w:val="14"/>
        </w:numPr>
        <w:spacing w:line="276" w:lineRule="auto"/>
        <w:rPr>
          <w:rFonts w:ascii="Calibri" w:hAnsi="Calibri" w:cs="Calibri"/>
          <w:b/>
          <w:bCs/>
          <w:color w:val="003741" w:themeColor="text1"/>
          <w:sz w:val="20"/>
          <w:szCs w:val="20"/>
          <w:lang w:val="en-US"/>
        </w:rPr>
      </w:pPr>
      <w:r w:rsidRPr="00E46B92">
        <w:rPr>
          <w:rFonts w:ascii="Calibri" w:hAnsi="Calibri" w:cs="Calibri"/>
          <w:b/>
          <w:bCs/>
          <w:color w:val="003741" w:themeColor="text1"/>
          <w:sz w:val="20"/>
          <w:szCs w:val="20"/>
          <w:lang w:val="en-US"/>
        </w:rPr>
        <w:t>Conflict of Interest</w:t>
      </w:r>
    </w:p>
    <w:p w14:paraId="06FDC01A" w14:textId="77777777" w:rsidR="00E46B92" w:rsidRPr="00E46B92" w:rsidRDefault="00E46B92" w:rsidP="00E46B92">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In their work for the Fund, members of the Committee are subject to the general rules and principles of administrative law concerning impartiality, as well as the supplementary conflict-of-interest rules published on the Fund’s website.</w:t>
      </w:r>
    </w:p>
    <w:p w14:paraId="7BABFCED" w14:textId="77777777" w:rsidR="00E46B92" w:rsidRPr="00E46B92" w:rsidRDefault="00E46B92" w:rsidP="00E46B92">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If, during the consideration of a matter, a member identifies circumstances that may give rise to doubt as to their impartiality, the member must notify the Chair and the Fund’s Secretariat and immediately withdraw from the handling of the matter. With assistance from the Secretariat, the Chair assesses the potential conflict-of-interest issues, and the matter is then submitted to the Committee, which makes the final determination regarding the member’s impartiality. If a member is found to have a conflict of interest, they may not resume or participate in the Committee’s consideration of the specific application.</w:t>
      </w:r>
    </w:p>
    <w:p w14:paraId="2805C53E" w14:textId="45AF8AD4" w:rsidR="00E46B92" w:rsidRDefault="00E46B92" w:rsidP="00E46B92">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 xml:space="preserve">The Chair must ensure that the issue of impartiality, including its reasoning and conclusion, is recorded in the minutes, and that a new member is appointed to assess the application where relevant. Where warranted by the </w:t>
      </w:r>
      <w:r w:rsidRPr="00E46B92">
        <w:rPr>
          <w:rFonts w:ascii="Calibri" w:hAnsi="Calibri" w:cs="Calibri"/>
          <w:color w:val="003741" w:themeColor="text1"/>
          <w:sz w:val="20"/>
          <w:szCs w:val="20"/>
          <w:lang w:val="en-US"/>
        </w:rPr>
        <w:lastRenderedPageBreak/>
        <w:t>proper handling of the case, the Chair may provisionally exclude the member in question from the consideration of the specific application and, where appropriate, replace them with another member within the above framework, without awaiting the Committee’s final decision.</w:t>
      </w:r>
    </w:p>
    <w:p w14:paraId="0F53BCB1" w14:textId="7CC352F6" w:rsidR="00E46B92" w:rsidRPr="00E46B92" w:rsidRDefault="00E46B92" w:rsidP="00E46B92">
      <w:pPr>
        <w:pStyle w:val="Listeafsnit"/>
        <w:numPr>
          <w:ilvl w:val="0"/>
          <w:numId w:val="14"/>
        </w:numPr>
        <w:spacing w:line="276" w:lineRule="auto"/>
        <w:rPr>
          <w:rFonts w:ascii="Calibri" w:hAnsi="Calibri" w:cs="Calibri"/>
          <w:b/>
          <w:bCs/>
          <w:color w:val="003741" w:themeColor="text1"/>
          <w:sz w:val="20"/>
          <w:szCs w:val="20"/>
          <w:lang w:val="en-US"/>
        </w:rPr>
      </w:pPr>
      <w:r w:rsidRPr="00E46B92">
        <w:rPr>
          <w:rFonts w:ascii="Calibri" w:hAnsi="Calibri" w:cs="Calibri"/>
          <w:b/>
          <w:bCs/>
          <w:color w:val="003741" w:themeColor="text1"/>
          <w:sz w:val="20"/>
          <w:szCs w:val="20"/>
          <w:lang w:val="en-US"/>
        </w:rPr>
        <w:t>Entry into Force</w:t>
      </w:r>
    </w:p>
    <w:p w14:paraId="7A6DCF9D" w14:textId="6B92DC22" w:rsidR="00E46B92" w:rsidRPr="00E46B92" w:rsidRDefault="00E46B92" w:rsidP="00E46B92">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All members of the Committee receive a copy of these Terms of Reference. These Terms of Reference enter into force on 26 February 2026. The Board may amend the Terms of Reference at any time.</w:t>
      </w:r>
    </w:p>
    <w:sectPr w:rsidR="00E46B92" w:rsidRPr="00E46B92" w:rsidSect="00D56D0B">
      <w:headerReference w:type="default" r:id="rId8"/>
      <w:footerReference w:type="default" r:id="rId9"/>
      <w:headerReference w:type="first" r:id="rId10"/>
      <w:footerReference w:type="first" r:id="rId11"/>
      <w:pgSz w:w="11906" w:h="16838" w:code="9"/>
      <w:pgMar w:top="1916" w:right="849" w:bottom="1701" w:left="1588" w:header="510" w:footer="53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F0844" w14:textId="77777777" w:rsidR="00406F22" w:rsidRDefault="00406F22" w:rsidP="009E4B94">
      <w:pPr>
        <w:spacing w:line="240" w:lineRule="auto"/>
      </w:pPr>
      <w:r>
        <w:separator/>
      </w:r>
    </w:p>
  </w:endnote>
  <w:endnote w:type="continuationSeparator" w:id="0">
    <w:p w14:paraId="14C50760" w14:textId="77777777" w:rsidR="00406F22" w:rsidRDefault="00406F22"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E4BB" w14:textId="77777777" w:rsidR="00681D83" w:rsidRPr="00681D83" w:rsidRDefault="00DE43A2" w:rsidP="00DE43A2">
    <w:pPr>
      <w:pStyle w:val="Sidefod"/>
      <w:tabs>
        <w:tab w:val="clear" w:pos="4819"/>
        <w:tab w:val="clear" w:pos="9638"/>
      </w:tabs>
    </w:pPr>
    <w:r>
      <w:rPr>
        <w:noProof/>
        <w:lang w:eastAsia="da-DK"/>
      </w:rPr>
      <mc:AlternateContent>
        <mc:Choice Requires="wps">
          <w:drawing>
            <wp:anchor distT="0" distB="0" distL="114300" distR="114300" simplePos="0" relativeHeight="251673600" behindDoc="0" locked="0" layoutInCell="1" allowOverlap="1" wp14:anchorId="11F3FD65" wp14:editId="584CC695">
              <wp:simplePos x="0" y="0"/>
              <wp:positionH relativeFrom="page">
                <wp:align>right</wp:align>
              </wp:positionH>
              <wp:positionV relativeFrom="page">
                <wp:align>bottom</wp:align>
              </wp:positionV>
              <wp:extent cx="1400400" cy="581025"/>
              <wp:effectExtent l="0" t="0" r="0" b="0"/>
              <wp:wrapNone/>
              <wp:docPr id="21" name="PageNo"/>
              <wp:cNvGraphicFramePr/>
              <a:graphic xmlns:a="http://schemas.openxmlformats.org/drawingml/2006/main">
                <a:graphicData uri="http://schemas.microsoft.com/office/word/2010/wordprocessingShape">
                  <wps:wsp>
                    <wps:cNvSpPr txBox="1"/>
                    <wps:spPr>
                      <a:xfrm>
                        <a:off x="0" y="0"/>
                        <a:ext cx="14004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FA9383" w14:textId="77777777" w:rsidR="00DE43A2" w:rsidRPr="00CA72E9" w:rsidRDefault="00DE43A2" w:rsidP="00062142">
                          <w:pPr>
                            <w:jc w:val="right"/>
                            <w:rPr>
                              <w:rFonts w:cs="Arial"/>
                              <w:sz w:val="16"/>
                              <w:szCs w:val="16"/>
                            </w:rPr>
                          </w:pPr>
                          <w:r w:rsidRPr="00CA72E9">
                            <w:rPr>
                              <w:rFonts w:cs="Arial"/>
                              <w:sz w:val="16"/>
                              <w:szCs w:val="16"/>
                            </w:rPr>
                            <w:fldChar w:fldCharType="begin"/>
                          </w:r>
                          <w:r w:rsidRPr="00CA72E9">
                            <w:rPr>
                              <w:rFonts w:cs="Arial"/>
                              <w:sz w:val="16"/>
                              <w:szCs w:val="16"/>
                            </w:rPr>
                            <w:instrText xml:space="preserve"> PAGE  </w:instrText>
                          </w:r>
                          <w:r w:rsidRPr="00CA72E9">
                            <w:rPr>
                              <w:rFonts w:cs="Arial"/>
                              <w:sz w:val="16"/>
                              <w:szCs w:val="16"/>
                            </w:rPr>
                            <w:fldChar w:fldCharType="separate"/>
                          </w:r>
                          <w:r w:rsidR="0086071B">
                            <w:rPr>
                              <w:rFonts w:cs="Arial"/>
                              <w:noProof/>
                              <w:sz w:val="16"/>
                              <w:szCs w:val="16"/>
                            </w:rPr>
                            <w:t>2</w:t>
                          </w:r>
                          <w:r w:rsidRPr="00CA72E9">
                            <w:rPr>
                              <w:rFonts w:cs="Arial"/>
                              <w:sz w:val="16"/>
                              <w:szCs w:val="16"/>
                            </w:rPr>
                            <w:fldChar w:fldCharType="end"/>
                          </w:r>
                        </w:p>
                      </w:txbxContent>
                    </wps:txbx>
                    <wps:bodyPr rot="0" spcFirstLastPara="0" vertOverflow="overflow" horzOverflow="overflow" vert="horz" wrap="square" lIns="0" tIns="0" rIns="489600" bIns="324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1F3FD65" id="_x0000_t202" coordsize="21600,21600" o:spt="202" path="m,l,21600r21600,l21600,xe">
              <v:stroke joinstyle="miter"/>
              <v:path gradientshapeok="t" o:connecttype="rect"/>
            </v:shapetype>
            <v:shape id="PageNo" o:spid="_x0000_s1026" type="#_x0000_t202" style="position:absolute;margin-left:59.05pt;margin-top:0;width:110.25pt;height:45.75pt;z-index:2516736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" filled="f" stroked="f" strokeweight=".5pt">
              <v:textbox style="mso-fit-shape-to-text:t" inset="0,0,13.6mm,9mm">
                <w:txbxContent>
                  <w:p w14:paraId="5FFA9383" w14:textId="77777777" w:rsidR="00DE43A2" w:rsidRPr="00CA72E9" w:rsidRDefault="00DE43A2" w:rsidP="00062142">
                    <w:pPr>
                      <w:jc w:val="right"/>
                      <w:rPr>
                        <w:rFonts w:cs="Arial"/>
                        <w:sz w:val="16"/>
                        <w:szCs w:val="16"/>
                      </w:rPr>
                    </w:pPr>
                    <w:r w:rsidRPr="00CA72E9">
                      <w:rPr>
                        <w:rFonts w:cs="Arial"/>
                        <w:sz w:val="16"/>
                        <w:szCs w:val="16"/>
                      </w:rPr>
                      <w:fldChar w:fldCharType="begin"/>
                    </w:r>
                    <w:r w:rsidRPr="00CA72E9">
                      <w:rPr>
                        <w:rFonts w:cs="Arial"/>
                        <w:sz w:val="16"/>
                        <w:szCs w:val="16"/>
                      </w:rPr>
                      <w:instrText xml:space="preserve"> PAGE  </w:instrText>
                    </w:r>
                    <w:r w:rsidRPr="00CA72E9">
                      <w:rPr>
                        <w:rFonts w:cs="Arial"/>
                        <w:sz w:val="16"/>
                        <w:szCs w:val="16"/>
                      </w:rPr>
                      <w:fldChar w:fldCharType="separate"/>
                    </w:r>
                    <w:r w:rsidR="0086071B">
                      <w:rPr>
                        <w:rFonts w:cs="Arial"/>
                        <w:noProof/>
                        <w:sz w:val="16"/>
                        <w:szCs w:val="16"/>
                      </w:rPr>
                      <w:t>2</w:t>
                    </w:r>
                    <w:r w:rsidRPr="00CA72E9">
                      <w:rPr>
                        <w:rFonts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3206"/>
      <w:gridCol w:w="1945"/>
      <w:gridCol w:w="2090"/>
    </w:tblGrid>
    <w:tr w:rsidR="00D56D0B" w:rsidRPr="00EA6FBC" w14:paraId="73E03890" w14:textId="77777777" w:rsidTr="000B2ED8">
      <w:tc>
        <w:tcPr>
          <w:tcW w:w="2263" w:type="dxa"/>
        </w:tcPr>
        <w:p w14:paraId="4313DE9F" w14:textId="77777777" w:rsidR="00D56D0B" w:rsidRPr="00EA6FBC" w:rsidRDefault="00FC676B" w:rsidP="00D56D0B">
          <w:pPr>
            <w:rPr>
              <w:rFonts w:cs="Arial"/>
              <w:sz w:val="16"/>
              <w:szCs w:val="16"/>
            </w:rPr>
          </w:pPr>
          <w:r>
            <w:rPr>
              <w:rFonts w:cs="Arial"/>
              <w:sz w:val="16"/>
              <w:szCs w:val="16"/>
            </w:rPr>
            <w:t>Innovation Fund Denmark</w:t>
          </w:r>
        </w:p>
        <w:p w14:paraId="6C50637C" w14:textId="77777777" w:rsidR="00D56D0B" w:rsidRPr="00EA6FBC" w:rsidRDefault="00D56D0B" w:rsidP="00237513">
          <w:pPr>
            <w:rPr>
              <w:rFonts w:cs="Arial"/>
              <w:sz w:val="16"/>
              <w:szCs w:val="16"/>
            </w:rPr>
          </w:pPr>
        </w:p>
      </w:tc>
      <w:tc>
        <w:tcPr>
          <w:tcW w:w="3261" w:type="dxa"/>
        </w:tcPr>
        <w:p w14:paraId="63057CAA" w14:textId="77777777" w:rsidR="00D56D0B" w:rsidRPr="00EA6FBC" w:rsidRDefault="00952BF6" w:rsidP="00D56D0B">
          <w:pPr>
            <w:rPr>
              <w:rFonts w:cs="Arial"/>
              <w:sz w:val="16"/>
              <w:szCs w:val="16"/>
            </w:rPr>
          </w:pPr>
          <w:r w:rsidRPr="00952BF6">
            <w:rPr>
              <w:rFonts w:cs="Arial"/>
              <w:sz w:val="16"/>
              <w:szCs w:val="16"/>
            </w:rPr>
            <w:t>Kalkværksvej 16</w:t>
          </w:r>
          <w:r w:rsidR="00900B93">
            <w:rPr>
              <w:rFonts w:cs="Arial"/>
              <w:sz w:val="16"/>
              <w:szCs w:val="16"/>
            </w:rPr>
            <w:t>,</w:t>
          </w:r>
          <w:r w:rsidR="007C06EF">
            <w:rPr>
              <w:rFonts w:cs="Arial"/>
              <w:sz w:val="16"/>
              <w:szCs w:val="16"/>
            </w:rPr>
            <w:t xml:space="preserve"> 7</w:t>
          </w:r>
          <w:r>
            <w:rPr>
              <w:rFonts w:cs="Arial"/>
              <w:sz w:val="16"/>
              <w:szCs w:val="16"/>
            </w:rPr>
            <w:br/>
          </w:r>
          <w:r w:rsidR="00900B93">
            <w:rPr>
              <w:rFonts w:cs="Arial"/>
              <w:sz w:val="16"/>
              <w:szCs w:val="16"/>
            </w:rPr>
            <w:t>DK-8000 Aa</w:t>
          </w:r>
          <w:r w:rsidR="00900B93" w:rsidRPr="00900B93">
            <w:rPr>
              <w:rFonts w:cs="Arial"/>
              <w:sz w:val="16"/>
              <w:szCs w:val="16"/>
            </w:rPr>
            <w:t>rhus</w:t>
          </w:r>
        </w:p>
      </w:tc>
      <w:tc>
        <w:tcPr>
          <w:tcW w:w="1984" w:type="dxa"/>
        </w:tcPr>
        <w:p w14:paraId="648C5FE5" w14:textId="77777777" w:rsidR="00D56D0B" w:rsidRPr="00EA6FBC" w:rsidRDefault="00D56D0B" w:rsidP="00D56D0B">
          <w:pPr>
            <w:rPr>
              <w:rFonts w:cs="Arial"/>
              <w:sz w:val="16"/>
              <w:szCs w:val="16"/>
            </w:rPr>
          </w:pPr>
        </w:p>
      </w:tc>
      <w:tc>
        <w:tcPr>
          <w:tcW w:w="2120" w:type="dxa"/>
        </w:tcPr>
        <w:p w14:paraId="7847C1BC" w14:textId="77777777" w:rsidR="00D56D0B" w:rsidRPr="00EA6FBC" w:rsidRDefault="00D56D0B" w:rsidP="00D56D0B">
          <w:pPr>
            <w:jc w:val="right"/>
            <w:rPr>
              <w:rFonts w:cs="Arial"/>
              <w:sz w:val="16"/>
              <w:szCs w:val="16"/>
            </w:rPr>
          </w:pPr>
          <w:r w:rsidRPr="00EA6FBC">
            <w:rPr>
              <w:rFonts w:cs="Arial"/>
              <w:sz w:val="16"/>
              <w:szCs w:val="16"/>
            </w:rPr>
            <w:t>Innovationsfonden.dk</w:t>
          </w:r>
        </w:p>
      </w:tc>
    </w:tr>
  </w:tbl>
  <w:p w14:paraId="7BE6E279" w14:textId="77777777" w:rsidR="00D56D0B" w:rsidRPr="00D56D0B" w:rsidRDefault="00D56D0B" w:rsidP="00D56D0B">
    <w:pPr>
      <w:pStyle w:val="Sidefod"/>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8960" w14:textId="77777777" w:rsidR="00406F22" w:rsidRDefault="00406F22" w:rsidP="009E4B94">
      <w:pPr>
        <w:spacing w:line="240" w:lineRule="auto"/>
      </w:pPr>
      <w:r>
        <w:separator/>
      </w:r>
    </w:p>
  </w:footnote>
  <w:footnote w:type="continuationSeparator" w:id="0">
    <w:p w14:paraId="0A94BC43" w14:textId="77777777" w:rsidR="00406F22" w:rsidRDefault="00406F22" w:rsidP="009E4B94">
      <w:pPr>
        <w:spacing w:line="240" w:lineRule="auto"/>
      </w:pPr>
      <w:r>
        <w:continuationSeparator/>
      </w:r>
    </w:p>
  </w:footnote>
  <w:footnote w:id="1">
    <w:p w14:paraId="44F402F5" w14:textId="0B7CF440" w:rsidR="0076341B" w:rsidRPr="0076341B" w:rsidRDefault="0076341B">
      <w:pPr>
        <w:pStyle w:val="Fodnotetekst"/>
        <w:rPr>
          <w:rFonts w:ascii="Calibri" w:hAnsi="Calibri" w:cs="Calibri"/>
          <w:lang w:val="en-US"/>
        </w:rPr>
      </w:pPr>
      <w:r w:rsidRPr="0076341B">
        <w:rPr>
          <w:rStyle w:val="Fodnotehenvisning"/>
          <w:rFonts w:ascii="Calibri" w:hAnsi="Calibri" w:cs="Calibri"/>
          <w:color w:val="003741" w:themeColor="text1"/>
          <w:sz w:val="18"/>
          <w:szCs w:val="24"/>
        </w:rPr>
        <w:footnoteRef/>
      </w:r>
      <w:r w:rsidRPr="0076341B">
        <w:rPr>
          <w:rFonts w:ascii="Calibri" w:hAnsi="Calibri" w:cs="Calibri"/>
          <w:color w:val="003741" w:themeColor="text1"/>
          <w:sz w:val="18"/>
          <w:szCs w:val="24"/>
          <w:lang w:val="en-US"/>
        </w:rPr>
        <w:t xml:space="preserve"> This is intended as an invitation to enter into an investment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6E29" w14:textId="77777777" w:rsidR="00CA72E9" w:rsidRDefault="0086071B" w:rsidP="00CA72E9">
    <w:pPr>
      <w:pStyle w:val="Sidehoved"/>
    </w:pPr>
    <w:r>
      <w:rPr>
        <w:noProof/>
        <w:lang w:eastAsia="da-DK"/>
      </w:rPr>
      <w:drawing>
        <wp:anchor distT="0" distB="0" distL="114300" distR="114300" simplePos="0" relativeHeight="251672575" behindDoc="0" locked="0" layoutInCell="1" allowOverlap="1" wp14:anchorId="7F9A48C4" wp14:editId="5CE6811C">
          <wp:simplePos x="0" y="0"/>
          <wp:positionH relativeFrom="margin">
            <wp:posOffset>3208655</wp:posOffset>
          </wp:positionH>
          <wp:positionV relativeFrom="paragraph">
            <wp:posOffset>95250</wp:posOffset>
          </wp:positionV>
          <wp:extent cx="2804663" cy="309600"/>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4663" cy="309600"/>
                  </a:xfrm>
                  <a:prstGeom prst="rect">
                    <a:avLst/>
                  </a:prstGeom>
                </pic:spPr>
              </pic:pic>
            </a:graphicData>
          </a:graphic>
          <wp14:sizeRelH relativeFrom="margin">
            <wp14:pctWidth>0</wp14:pctWidth>
          </wp14:sizeRelH>
          <wp14:sizeRelV relativeFrom="margin">
            <wp14:pctHeight>0</wp14:pctHeight>
          </wp14:sizeRelV>
        </wp:anchor>
      </w:drawing>
    </w:r>
  </w:p>
  <w:p w14:paraId="7803EB24" w14:textId="77777777" w:rsidR="00CA72E9" w:rsidRDefault="00CA72E9" w:rsidP="00CA72E9">
    <w:pPr>
      <w:pStyle w:val="Sidehoved"/>
    </w:pPr>
  </w:p>
  <w:p w14:paraId="4960B286" w14:textId="77777777" w:rsidR="00CA72E9" w:rsidRDefault="00CA72E9" w:rsidP="00CA72E9">
    <w:pPr>
      <w:pStyle w:val="Sidehoved"/>
    </w:pPr>
  </w:p>
  <w:p w14:paraId="1DAD8EA1" w14:textId="77777777" w:rsidR="00CA72E9" w:rsidRDefault="00CA72E9" w:rsidP="00CA72E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4993" w14:textId="77777777" w:rsidR="0086071B" w:rsidRDefault="0086071B" w:rsidP="0086071B">
    <w:pPr>
      <w:pStyle w:val="Sidehoved"/>
    </w:pPr>
    <w:r>
      <w:rPr>
        <w:noProof/>
        <w:lang w:eastAsia="da-DK"/>
      </w:rPr>
      <w:drawing>
        <wp:anchor distT="0" distB="0" distL="114300" distR="114300" simplePos="0" relativeHeight="251685888" behindDoc="0" locked="0" layoutInCell="1" allowOverlap="1" wp14:anchorId="146B397E" wp14:editId="708957CF">
          <wp:simplePos x="0" y="0"/>
          <wp:positionH relativeFrom="margin">
            <wp:posOffset>3208655</wp:posOffset>
          </wp:positionH>
          <wp:positionV relativeFrom="paragraph">
            <wp:posOffset>95250</wp:posOffset>
          </wp:positionV>
          <wp:extent cx="2804663" cy="309600"/>
          <wp:effectExtent l="0" t="0" r="0" b="0"/>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4663" cy="309600"/>
                  </a:xfrm>
                  <a:prstGeom prst="rect">
                    <a:avLst/>
                  </a:prstGeom>
                </pic:spPr>
              </pic:pic>
            </a:graphicData>
          </a:graphic>
          <wp14:sizeRelH relativeFrom="margin">
            <wp14:pctWidth>0</wp14:pctWidth>
          </wp14:sizeRelH>
          <wp14:sizeRelV relativeFrom="margin">
            <wp14:pctHeight>0</wp14:pctHeight>
          </wp14:sizeRelV>
        </wp:anchor>
      </w:drawing>
    </w:r>
  </w:p>
  <w:p w14:paraId="6DBF547B" w14:textId="77777777" w:rsidR="0086071B" w:rsidRDefault="0086071B" w:rsidP="0086071B">
    <w:pPr>
      <w:pStyle w:val="Sidehoved"/>
    </w:pPr>
  </w:p>
  <w:p w14:paraId="6018E8D8" w14:textId="77777777" w:rsidR="0086071B" w:rsidRDefault="0086071B" w:rsidP="0086071B">
    <w:pPr>
      <w:pStyle w:val="Sidehoved"/>
    </w:pPr>
  </w:p>
  <w:p w14:paraId="36A9918B" w14:textId="77777777" w:rsidR="0086071B" w:rsidRDefault="0086071B" w:rsidP="0086071B">
    <w:pPr>
      <w:pStyle w:val="Sidehoved"/>
    </w:pPr>
  </w:p>
  <w:p w14:paraId="22414AA1" w14:textId="77777777" w:rsidR="008F4D20" w:rsidRDefault="008F4D20" w:rsidP="0086071B">
    <w:pPr>
      <w:pStyle w:val="Sidehoved"/>
    </w:pPr>
  </w:p>
  <w:p w14:paraId="3DD8C0C1" w14:textId="77777777" w:rsidR="0086071B" w:rsidRDefault="0086071B" w:rsidP="0086071B">
    <w:pPr>
      <w:pStyle w:val="Sidehoved"/>
    </w:pPr>
  </w:p>
  <w:p w14:paraId="3F6783C8" w14:textId="77777777" w:rsidR="0086071B" w:rsidRPr="0086071B" w:rsidRDefault="0086071B" w:rsidP="0086071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E8D56C9"/>
    <w:multiLevelType w:val="hybridMultilevel"/>
    <w:tmpl w:val="44FCD832"/>
    <w:lvl w:ilvl="0" w:tplc="13701B14">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C2F1337"/>
    <w:multiLevelType w:val="hybridMultilevel"/>
    <w:tmpl w:val="3E0CBC56"/>
    <w:lvl w:ilvl="0" w:tplc="13701B14">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0C55246"/>
    <w:multiLevelType w:val="hybridMultilevel"/>
    <w:tmpl w:val="13DADE5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DE246C0"/>
    <w:multiLevelType w:val="hybridMultilevel"/>
    <w:tmpl w:val="F216C0D4"/>
    <w:lvl w:ilvl="0" w:tplc="BD04D73E">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14B25A5"/>
    <w:multiLevelType w:val="hybridMultilevel"/>
    <w:tmpl w:val="D786DB5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A295A2B"/>
    <w:multiLevelType w:val="multilevel"/>
    <w:tmpl w:val="74E26696"/>
    <w:lvl w:ilvl="0">
      <w:start w:val="1"/>
      <w:numFmt w:val="bullet"/>
      <w:lvlRestart w:val="0"/>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5" w15:restartNumberingAfterBreak="0">
    <w:nsid w:val="7B011835"/>
    <w:multiLevelType w:val="hybridMultilevel"/>
    <w:tmpl w:val="D1B23006"/>
    <w:lvl w:ilvl="0" w:tplc="0406001B">
      <w:start w:val="1"/>
      <w:numFmt w:val="lowerRoman"/>
      <w:lvlText w:val="%1."/>
      <w:lvlJc w:val="right"/>
      <w:pPr>
        <w:ind w:left="766" w:hanging="360"/>
      </w:pPr>
    </w:lvl>
    <w:lvl w:ilvl="1" w:tplc="04060019" w:tentative="1">
      <w:start w:val="1"/>
      <w:numFmt w:val="lowerLetter"/>
      <w:lvlText w:val="%2."/>
      <w:lvlJc w:val="left"/>
      <w:pPr>
        <w:ind w:left="1486" w:hanging="360"/>
      </w:pPr>
    </w:lvl>
    <w:lvl w:ilvl="2" w:tplc="0406001B" w:tentative="1">
      <w:start w:val="1"/>
      <w:numFmt w:val="lowerRoman"/>
      <w:lvlText w:val="%3."/>
      <w:lvlJc w:val="right"/>
      <w:pPr>
        <w:ind w:left="2206" w:hanging="180"/>
      </w:pPr>
    </w:lvl>
    <w:lvl w:ilvl="3" w:tplc="0406000F" w:tentative="1">
      <w:start w:val="1"/>
      <w:numFmt w:val="decimal"/>
      <w:lvlText w:val="%4."/>
      <w:lvlJc w:val="left"/>
      <w:pPr>
        <w:ind w:left="2926" w:hanging="360"/>
      </w:pPr>
    </w:lvl>
    <w:lvl w:ilvl="4" w:tplc="04060019" w:tentative="1">
      <w:start w:val="1"/>
      <w:numFmt w:val="lowerLetter"/>
      <w:lvlText w:val="%5."/>
      <w:lvlJc w:val="left"/>
      <w:pPr>
        <w:ind w:left="3646" w:hanging="360"/>
      </w:pPr>
    </w:lvl>
    <w:lvl w:ilvl="5" w:tplc="0406001B" w:tentative="1">
      <w:start w:val="1"/>
      <w:numFmt w:val="lowerRoman"/>
      <w:lvlText w:val="%6."/>
      <w:lvlJc w:val="right"/>
      <w:pPr>
        <w:ind w:left="4366" w:hanging="180"/>
      </w:pPr>
    </w:lvl>
    <w:lvl w:ilvl="6" w:tplc="0406000F" w:tentative="1">
      <w:start w:val="1"/>
      <w:numFmt w:val="decimal"/>
      <w:lvlText w:val="%7."/>
      <w:lvlJc w:val="left"/>
      <w:pPr>
        <w:ind w:left="5086" w:hanging="360"/>
      </w:pPr>
    </w:lvl>
    <w:lvl w:ilvl="7" w:tplc="04060019" w:tentative="1">
      <w:start w:val="1"/>
      <w:numFmt w:val="lowerLetter"/>
      <w:lvlText w:val="%8."/>
      <w:lvlJc w:val="left"/>
      <w:pPr>
        <w:ind w:left="5806" w:hanging="360"/>
      </w:pPr>
    </w:lvl>
    <w:lvl w:ilvl="8" w:tplc="0406001B" w:tentative="1">
      <w:start w:val="1"/>
      <w:numFmt w:val="lowerRoman"/>
      <w:lvlText w:val="%9."/>
      <w:lvlJc w:val="right"/>
      <w:pPr>
        <w:ind w:left="6526" w:hanging="180"/>
      </w:pPr>
    </w:lvl>
  </w:abstractNum>
  <w:abstractNum w:abstractNumId="16"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7"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7"/>
  </w:num>
  <w:num w:numId="2">
    <w:abstractNumId w:val="7"/>
  </w:num>
  <w:num w:numId="3">
    <w:abstractNumId w:val="6"/>
  </w:num>
  <w:num w:numId="4">
    <w:abstractNumId w:val="5"/>
  </w:num>
  <w:num w:numId="5">
    <w:abstractNumId w:val="4"/>
  </w:num>
  <w:num w:numId="6">
    <w:abstractNumId w:val="16"/>
  </w:num>
  <w:num w:numId="7">
    <w:abstractNumId w:val="3"/>
  </w:num>
  <w:num w:numId="8">
    <w:abstractNumId w:val="2"/>
  </w:num>
  <w:num w:numId="9">
    <w:abstractNumId w:val="1"/>
  </w:num>
  <w:num w:numId="10">
    <w:abstractNumId w:val="0"/>
  </w:num>
  <w:num w:numId="11">
    <w:abstractNumId w:val="8"/>
  </w:num>
  <w:num w:numId="12">
    <w:abstractNumId w:val="16"/>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4"/>
  </w:num>
  <w:num w:numId="14">
    <w:abstractNumId w:val="13"/>
  </w:num>
  <w:num w:numId="15">
    <w:abstractNumId w:val="12"/>
  </w:num>
  <w:num w:numId="16">
    <w:abstractNumId w:val="11"/>
  </w:num>
  <w:num w:numId="17">
    <w:abstractNumId w:val="10"/>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17"/>
    <w:rsid w:val="00004865"/>
    <w:rsid w:val="0004348E"/>
    <w:rsid w:val="00062142"/>
    <w:rsid w:val="00076709"/>
    <w:rsid w:val="00094ABD"/>
    <w:rsid w:val="000A5D0F"/>
    <w:rsid w:val="000B3B75"/>
    <w:rsid w:val="000D1178"/>
    <w:rsid w:val="000D58C0"/>
    <w:rsid w:val="0013244F"/>
    <w:rsid w:val="00141823"/>
    <w:rsid w:val="00182651"/>
    <w:rsid w:val="001B2D98"/>
    <w:rsid w:val="001C081E"/>
    <w:rsid w:val="001D511A"/>
    <w:rsid w:val="001F3842"/>
    <w:rsid w:val="00217BB2"/>
    <w:rsid w:val="00237513"/>
    <w:rsid w:val="00244D70"/>
    <w:rsid w:val="00261042"/>
    <w:rsid w:val="0029514D"/>
    <w:rsid w:val="002A04A0"/>
    <w:rsid w:val="002C5934"/>
    <w:rsid w:val="002E74A4"/>
    <w:rsid w:val="0034424E"/>
    <w:rsid w:val="00361BF3"/>
    <w:rsid w:val="00372A1A"/>
    <w:rsid w:val="0039061B"/>
    <w:rsid w:val="003A0EF7"/>
    <w:rsid w:val="003B35B0"/>
    <w:rsid w:val="003C4F9F"/>
    <w:rsid w:val="003C60F1"/>
    <w:rsid w:val="00406F22"/>
    <w:rsid w:val="00424709"/>
    <w:rsid w:val="00424AD9"/>
    <w:rsid w:val="00434215"/>
    <w:rsid w:val="00435160"/>
    <w:rsid w:val="00452463"/>
    <w:rsid w:val="00454DA9"/>
    <w:rsid w:val="004854E1"/>
    <w:rsid w:val="004911EE"/>
    <w:rsid w:val="004C01B2"/>
    <w:rsid w:val="004C4CE0"/>
    <w:rsid w:val="005002DC"/>
    <w:rsid w:val="00517A17"/>
    <w:rsid w:val="00575CDA"/>
    <w:rsid w:val="005824A5"/>
    <w:rsid w:val="00593BD7"/>
    <w:rsid w:val="005A28D4"/>
    <w:rsid w:val="005B7F94"/>
    <w:rsid w:val="005C5F97"/>
    <w:rsid w:val="005E1144"/>
    <w:rsid w:val="005E7729"/>
    <w:rsid w:val="005F1580"/>
    <w:rsid w:val="005F3ED8"/>
    <w:rsid w:val="00603B19"/>
    <w:rsid w:val="00626926"/>
    <w:rsid w:val="00655B49"/>
    <w:rsid w:val="00681D83"/>
    <w:rsid w:val="006832A2"/>
    <w:rsid w:val="006900C2"/>
    <w:rsid w:val="00696608"/>
    <w:rsid w:val="006A3347"/>
    <w:rsid w:val="006A6545"/>
    <w:rsid w:val="006B30A9"/>
    <w:rsid w:val="006B6C4C"/>
    <w:rsid w:val="0070267E"/>
    <w:rsid w:val="00706E32"/>
    <w:rsid w:val="00750134"/>
    <w:rsid w:val="00753668"/>
    <w:rsid w:val="007546AF"/>
    <w:rsid w:val="007624B4"/>
    <w:rsid w:val="0076341B"/>
    <w:rsid w:val="00765934"/>
    <w:rsid w:val="007C06EF"/>
    <w:rsid w:val="007D228A"/>
    <w:rsid w:val="007E0A30"/>
    <w:rsid w:val="007E1D69"/>
    <w:rsid w:val="007E373C"/>
    <w:rsid w:val="008059B9"/>
    <w:rsid w:val="008477D8"/>
    <w:rsid w:val="0086071B"/>
    <w:rsid w:val="00876448"/>
    <w:rsid w:val="00892D08"/>
    <w:rsid w:val="00893791"/>
    <w:rsid w:val="008E5A6D"/>
    <w:rsid w:val="008F32DF"/>
    <w:rsid w:val="008F3560"/>
    <w:rsid w:val="008F4D20"/>
    <w:rsid w:val="00900243"/>
    <w:rsid w:val="00900B93"/>
    <w:rsid w:val="009273CC"/>
    <w:rsid w:val="00951B25"/>
    <w:rsid w:val="00952BF6"/>
    <w:rsid w:val="00953A3F"/>
    <w:rsid w:val="009737E4"/>
    <w:rsid w:val="00983B74"/>
    <w:rsid w:val="00990263"/>
    <w:rsid w:val="009A4CCC"/>
    <w:rsid w:val="009A529B"/>
    <w:rsid w:val="009B430C"/>
    <w:rsid w:val="009D45B1"/>
    <w:rsid w:val="009E4B94"/>
    <w:rsid w:val="009F1B4D"/>
    <w:rsid w:val="00A3674F"/>
    <w:rsid w:val="00A623B6"/>
    <w:rsid w:val="00A713E2"/>
    <w:rsid w:val="00A942F8"/>
    <w:rsid w:val="00AB4582"/>
    <w:rsid w:val="00AE30E6"/>
    <w:rsid w:val="00AF01CA"/>
    <w:rsid w:val="00AF096D"/>
    <w:rsid w:val="00AF1D02"/>
    <w:rsid w:val="00B00D92"/>
    <w:rsid w:val="00B32FD2"/>
    <w:rsid w:val="00B44DD4"/>
    <w:rsid w:val="00B557F9"/>
    <w:rsid w:val="00B745C7"/>
    <w:rsid w:val="00BB02CB"/>
    <w:rsid w:val="00BB4255"/>
    <w:rsid w:val="00BC19DD"/>
    <w:rsid w:val="00BC39B6"/>
    <w:rsid w:val="00BE34E8"/>
    <w:rsid w:val="00BE5FEB"/>
    <w:rsid w:val="00BF51B0"/>
    <w:rsid w:val="00C02658"/>
    <w:rsid w:val="00C02CEC"/>
    <w:rsid w:val="00C07DA4"/>
    <w:rsid w:val="00C14063"/>
    <w:rsid w:val="00C321CF"/>
    <w:rsid w:val="00C57B73"/>
    <w:rsid w:val="00C62CEA"/>
    <w:rsid w:val="00C6709A"/>
    <w:rsid w:val="00C90F1A"/>
    <w:rsid w:val="00CA72E9"/>
    <w:rsid w:val="00CC6322"/>
    <w:rsid w:val="00CD4373"/>
    <w:rsid w:val="00CF10F8"/>
    <w:rsid w:val="00D073A8"/>
    <w:rsid w:val="00D15C3E"/>
    <w:rsid w:val="00D27D0E"/>
    <w:rsid w:val="00D56D0B"/>
    <w:rsid w:val="00D609AB"/>
    <w:rsid w:val="00D64BF4"/>
    <w:rsid w:val="00D72EBE"/>
    <w:rsid w:val="00D96141"/>
    <w:rsid w:val="00DB0B37"/>
    <w:rsid w:val="00DB31AF"/>
    <w:rsid w:val="00DC1DE3"/>
    <w:rsid w:val="00DC61BD"/>
    <w:rsid w:val="00DD40C9"/>
    <w:rsid w:val="00DE2B28"/>
    <w:rsid w:val="00DE43A2"/>
    <w:rsid w:val="00E021AE"/>
    <w:rsid w:val="00E46B92"/>
    <w:rsid w:val="00E72B54"/>
    <w:rsid w:val="00E738FA"/>
    <w:rsid w:val="00F146FA"/>
    <w:rsid w:val="00F2108A"/>
    <w:rsid w:val="00F93D37"/>
    <w:rsid w:val="00FC421A"/>
    <w:rsid w:val="00FC676B"/>
    <w:rsid w:val="00FE2C9C"/>
    <w:rsid w:val="00FF10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65086"/>
  <w15:docId w15:val="{3338D2BE-5507-4461-AF5A-84E65368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1"/>
        <w:szCs w:val="21"/>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98"/>
    <w:pPr>
      <w:spacing w:after="160" w:line="256" w:lineRule="auto"/>
    </w:pPr>
    <w:rPr>
      <w:rFonts w:asciiTheme="minorHAnsi" w:hAnsiTheme="minorHAnsi"/>
      <w:sz w:val="22"/>
      <w:szCs w:val="22"/>
    </w:rPr>
  </w:style>
  <w:style w:type="paragraph" w:styleId="Overskrift1">
    <w:name w:val="heading 1"/>
    <w:basedOn w:val="Normal"/>
    <w:next w:val="Normal"/>
    <w:link w:val="Overskrift1Tegn"/>
    <w:uiPriority w:val="1"/>
    <w:qFormat/>
    <w:rsid w:val="00AE30E6"/>
    <w:pPr>
      <w:keepNext/>
      <w:keepLines/>
      <w:spacing w:after="240"/>
      <w:contextualSpacing/>
      <w:outlineLvl w:val="0"/>
    </w:pPr>
    <w:rPr>
      <w:rFonts w:eastAsiaTheme="majorEastAsia" w:cstheme="majorBidi"/>
      <w:b/>
      <w:bCs/>
      <w:color w:val="1E4148"/>
      <w:sz w:val="30"/>
      <w:szCs w:val="28"/>
    </w:rPr>
  </w:style>
  <w:style w:type="paragraph" w:styleId="Overskrift2">
    <w:name w:val="heading 2"/>
    <w:basedOn w:val="Normal"/>
    <w:next w:val="Normal"/>
    <w:link w:val="Overskrift2Tegn"/>
    <w:uiPriority w:val="1"/>
    <w:qFormat/>
    <w:rsid w:val="009B430C"/>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C57B73"/>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4424E"/>
    <w:pPr>
      <w:tabs>
        <w:tab w:val="center" w:pos="4819"/>
        <w:tab w:val="right" w:pos="9638"/>
      </w:tabs>
      <w:spacing w:line="240" w:lineRule="atLeast"/>
    </w:pPr>
    <w:rPr>
      <w:sz w:val="17"/>
    </w:rPr>
  </w:style>
  <w:style w:type="character" w:customStyle="1" w:styleId="SidehovedTegn">
    <w:name w:val="Sidehoved Tegn"/>
    <w:basedOn w:val="Standardskrifttypeiafsnit"/>
    <w:link w:val="Sidehoved"/>
    <w:uiPriority w:val="21"/>
    <w:semiHidden/>
    <w:rsid w:val="0034424E"/>
    <w:rPr>
      <w:sz w:val="17"/>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B32FD2"/>
    <w:rPr>
      <w:sz w:val="16"/>
    </w:rPr>
  </w:style>
  <w:style w:type="character" w:customStyle="1" w:styleId="Overskrift1Tegn">
    <w:name w:val="Overskrift 1 Tegn"/>
    <w:basedOn w:val="Standardskrifttypeiafsnit"/>
    <w:link w:val="Overskrift1"/>
    <w:uiPriority w:val="1"/>
    <w:rsid w:val="00AE30E6"/>
    <w:rPr>
      <w:rFonts w:ascii="Arial" w:eastAsiaTheme="majorEastAsia" w:hAnsi="Arial" w:cstheme="majorBidi"/>
      <w:b/>
      <w:bCs/>
      <w:color w:val="1E4148"/>
      <w:sz w:val="30"/>
      <w:szCs w:val="28"/>
    </w:rPr>
  </w:style>
  <w:style w:type="character" w:customStyle="1" w:styleId="Overskrift2Tegn">
    <w:name w:val="Overskrift 2 Tegn"/>
    <w:basedOn w:val="Standardskrifttypeiafsnit"/>
    <w:link w:val="Overskrift2"/>
    <w:uiPriority w:val="1"/>
    <w:rsid w:val="009B430C"/>
    <w:rPr>
      <w:rFonts w:eastAsiaTheme="majorEastAsia" w:cstheme="majorBidi"/>
      <w:b/>
      <w:bCs/>
      <w:szCs w:val="26"/>
    </w:rPr>
  </w:style>
  <w:style w:type="character" w:customStyle="1" w:styleId="Overskrift3Tegn">
    <w:name w:val="Overskrift 3 Tegn"/>
    <w:basedOn w:val="Standardskrifttypeiafsnit"/>
    <w:link w:val="Overskrift3"/>
    <w:uiPriority w:val="1"/>
    <w:rsid w:val="00C57B73"/>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B32FD2"/>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32FD2"/>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21DCFF"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B32FD2"/>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9"/>
    <w:semiHidden/>
    <w:rsid w:val="0034424E"/>
    <w:pPr>
      <w:spacing w:before="260"/>
      <w:ind w:right="567"/>
    </w:pPr>
    <w:rPr>
      <w:b/>
      <w:sz w:val="24"/>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next w:val="Normal"/>
    <w:uiPriority w:val="9"/>
    <w:semiHidden/>
    <w:rsid w:val="0034424E"/>
    <w:pPr>
      <w:spacing w:after="520" w:line="360" w:lineRule="atLeast"/>
    </w:pPr>
    <w:rPr>
      <w:rFonts w:eastAsiaTheme="majorEastAsia" w:cstheme="majorBidi"/>
      <w:b/>
      <w:bCs/>
      <w:color w:val="00A6AA"/>
      <w:sz w:val="34"/>
      <w:szCs w:val="28"/>
    </w:rPr>
  </w:style>
  <w:style w:type="paragraph" w:styleId="Bloktekst">
    <w:name w:val="Block Text"/>
    <w:basedOn w:val="Normal"/>
    <w:uiPriority w:val="99"/>
    <w:semiHidden/>
    <w:rsid w:val="009E4B94"/>
    <w:pPr>
      <w:pBdr>
        <w:top w:val="single" w:sz="2" w:space="10" w:color="1FDBFF" w:themeColor="text1" w:themeTint="80"/>
        <w:left w:val="single" w:sz="2" w:space="10" w:color="1FDBFF" w:themeColor="text1" w:themeTint="80"/>
        <w:bottom w:val="single" w:sz="2" w:space="10" w:color="1FDBFF" w:themeColor="text1" w:themeTint="80"/>
        <w:right w:val="single" w:sz="2" w:space="10" w:color="1FDBF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4424E"/>
    <w:pPr>
      <w:spacing w:after="120" w:line="240" w:lineRule="atLeast"/>
      <w:ind w:left="85" w:hanging="85"/>
    </w:pPr>
    <w:rPr>
      <w:sz w:val="17"/>
    </w:rPr>
  </w:style>
  <w:style w:type="character" w:customStyle="1" w:styleId="SlutnotetekstTegn">
    <w:name w:val="Slutnotetekst Tegn"/>
    <w:basedOn w:val="Standardskrifttypeiafsnit"/>
    <w:link w:val="Slutnotetekst"/>
    <w:uiPriority w:val="21"/>
    <w:semiHidden/>
    <w:rsid w:val="0034424E"/>
    <w:rPr>
      <w:sz w:val="17"/>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34424E"/>
    <w:pPr>
      <w:spacing w:after="120" w:line="240" w:lineRule="atLeast"/>
      <w:ind w:left="85" w:hanging="85"/>
    </w:pPr>
    <w:rPr>
      <w:sz w:val="17"/>
    </w:rPr>
  </w:style>
  <w:style w:type="character" w:customStyle="1" w:styleId="FodnotetekstTegn">
    <w:name w:val="Fodnotetekst Tegn"/>
    <w:basedOn w:val="Standardskrifttypeiafsnit"/>
    <w:link w:val="Fodnotetekst"/>
    <w:uiPriority w:val="21"/>
    <w:semiHidden/>
    <w:rsid w:val="0034424E"/>
    <w:rPr>
      <w:sz w:val="17"/>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DC1DE3"/>
    <w:rPr>
      <w:rFonts w:ascii="Calibri" w:hAnsi="Calibri"/>
      <w:sz w:val="17"/>
    </w:rPr>
  </w:style>
  <w:style w:type="paragraph" w:customStyle="1" w:styleId="Template">
    <w:name w:val="Template"/>
    <w:uiPriority w:val="8"/>
    <w:semiHidden/>
    <w:rsid w:val="0029514D"/>
    <w:pPr>
      <w:spacing w:line="220" w:lineRule="atLeast"/>
    </w:pPr>
    <w:rPr>
      <w:noProof/>
      <w:sz w:val="14"/>
    </w:rPr>
  </w:style>
  <w:style w:type="paragraph" w:customStyle="1" w:styleId="Template-Adresse">
    <w:name w:val="Template - Adresse"/>
    <w:basedOn w:val="Template"/>
    <w:uiPriority w:val="8"/>
    <w:semiHidden/>
    <w:rsid w:val="0029514D"/>
    <w:pPr>
      <w:tabs>
        <w:tab w:val="left" w:pos="737"/>
      </w:tabs>
      <w:spacing w:line="240" w:lineRule="atLeast"/>
    </w:pPr>
    <w:rPr>
      <w:caps/>
    </w:rPr>
  </w:style>
  <w:style w:type="paragraph" w:customStyle="1" w:styleId="Template-Virksomhedsnavn">
    <w:name w:val="Template - Virksomheds navn"/>
    <w:basedOn w:val="Template-Adresse"/>
    <w:next w:val="Template-Adresse"/>
    <w:uiPriority w:val="8"/>
    <w:semiHidden/>
    <w:rsid w:val="00F93D37"/>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B32FD2"/>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3741" w:themeColor="text1"/>
    </w:rPr>
  </w:style>
  <w:style w:type="character" w:customStyle="1" w:styleId="CitatTegn">
    <w:name w:val="Citat Tegn"/>
    <w:basedOn w:val="Standardskrifttypeiafsnit"/>
    <w:link w:val="Citat"/>
    <w:uiPriority w:val="19"/>
    <w:semiHidden/>
    <w:rsid w:val="00B32FD2"/>
    <w:rPr>
      <w:b/>
      <w:iCs/>
      <w:color w:val="003741"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3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rsid w:val="000A5D0F"/>
    <w:pPr>
      <w:spacing w:after="240"/>
      <w:contextualSpacing/>
    </w:pPr>
    <w:rPr>
      <w:b/>
      <w:color w:val="1E4148"/>
      <w:sz w:val="3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DB0B37"/>
    <w:rPr>
      <w:sz w:val="17"/>
    </w:rPr>
  </w:style>
  <w:style w:type="paragraph" w:customStyle="1" w:styleId="Template-CVRnr">
    <w:name w:val="Template - CVR nr"/>
    <w:basedOn w:val="Template"/>
    <w:uiPriority w:val="8"/>
    <w:semiHidden/>
    <w:rsid w:val="00B745C7"/>
    <w:pPr>
      <w:spacing w:before="80"/>
      <w:contextualSpacing/>
    </w:pPr>
    <w:rPr>
      <w:caps/>
      <w:sz w:val="13"/>
    </w:rPr>
  </w:style>
  <w:style w:type="paragraph" w:customStyle="1" w:styleId="Template-Sagsnr">
    <w:name w:val="Template - Sags nr"/>
    <w:basedOn w:val="Template"/>
    <w:next w:val="Normal"/>
    <w:uiPriority w:val="8"/>
    <w:semiHidden/>
    <w:rsid w:val="00DB0B37"/>
    <w:rPr>
      <w:sz w:val="17"/>
    </w:rPr>
  </w:style>
  <w:style w:type="paragraph" w:customStyle="1" w:styleId="Afsendertitel">
    <w:name w:val="Afsender titel"/>
    <w:basedOn w:val="Normal"/>
    <w:next w:val="Normal"/>
    <w:uiPriority w:val="7"/>
    <w:rsid w:val="0029514D"/>
    <w:rPr>
      <w:i/>
      <w:sz w:val="17"/>
    </w:rPr>
  </w:style>
  <w:style w:type="character" w:styleId="Hyperlink">
    <w:name w:val="Hyperlink"/>
    <w:basedOn w:val="Standardskrifttypeiafsnit"/>
    <w:uiPriority w:val="21"/>
    <w:semiHidden/>
    <w:rsid w:val="00A713E2"/>
    <w:rPr>
      <w:color w:val="003741" w:themeColor="hyperlink"/>
      <w:u w:val="single"/>
    </w:rPr>
  </w:style>
  <w:style w:type="paragraph" w:styleId="Markeringsbobletekst">
    <w:name w:val="Balloon Text"/>
    <w:basedOn w:val="Normal"/>
    <w:link w:val="MarkeringsbobletekstTegn"/>
    <w:uiPriority w:val="99"/>
    <w:semiHidden/>
    <w:rsid w:val="00C02CE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32FD2"/>
    <w:rPr>
      <w:rFonts w:ascii="Tahoma" w:hAnsi="Tahoma" w:cs="Tahoma"/>
      <w:sz w:val="16"/>
      <w:szCs w:val="16"/>
    </w:rPr>
  </w:style>
  <w:style w:type="paragraph" w:styleId="Listeafsnit">
    <w:name w:val="List Paragraph"/>
    <w:basedOn w:val="Normal"/>
    <w:uiPriority w:val="99"/>
    <w:semiHidden/>
    <w:qFormat/>
    <w:rsid w:val="00C14063"/>
    <w:pPr>
      <w:ind w:left="720"/>
      <w:contextualSpacing/>
    </w:pPr>
  </w:style>
  <w:style w:type="paragraph" w:customStyle="1" w:styleId="KolofonOplysninger">
    <w:name w:val="Kolofon Oplysninger"/>
    <w:basedOn w:val="Normal"/>
    <w:uiPriority w:val="9"/>
    <w:semiHidden/>
    <w:rsid w:val="000B3B75"/>
    <w:pPr>
      <w:tabs>
        <w:tab w:val="left" w:pos="397"/>
      </w:tabs>
    </w:pPr>
    <w:rPr>
      <w:noProof/>
      <w:sz w:val="17"/>
    </w:rPr>
  </w:style>
  <w:style w:type="character" w:customStyle="1" w:styleId="Template-Skrstreg">
    <w:name w:val="Template - Skråstreg"/>
    <w:basedOn w:val="Standardskrifttypeiafsnit"/>
    <w:uiPriority w:val="8"/>
    <w:semiHidden/>
    <w:rsid w:val="0029514D"/>
    <w:rPr>
      <w:color w:val="00A6AA"/>
      <w:sz w:val="14"/>
    </w:rPr>
  </w:style>
  <w:style w:type="character" w:customStyle="1" w:styleId="mellemrubrikTegn">
    <w:name w:val="mellemrubrik Tegn"/>
    <w:basedOn w:val="Standardskrifttypeiafsnit"/>
    <w:link w:val="mellemrubrik"/>
    <w:locked/>
    <w:rsid w:val="001B2D98"/>
    <w:rPr>
      <w:rFonts w:ascii="Arial" w:hAnsi="Arial" w:cs="Arial"/>
      <w:b/>
      <w:sz w:val="22"/>
      <w:szCs w:val="22"/>
    </w:rPr>
  </w:style>
  <w:style w:type="paragraph" w:customStyle="1" w:styleId="mellemrubrik">
    <w:name w:val="mellemrubrik"/>
    <w:basedOn w:val="Normal"/>
    <w:link w:val="mellemrubrikTegn"/>
    <w:qFormat/>
    <w:rsid w:val="001B2D98"/>
    <w:rPr>
      <w:rFonts w:ascii="Arial" w:hAnsi="Arial" w:cs="Arial"/>
      <w:b/>
    </w:rPr>
  </w:style>
  <w:style w:type="character" w:styleId="Fodnotehenvisning">
    <w:name w:val="footnote reference"/>
    <w:basedOn w:val="Standardskrifttypeiafsnit"/>
    <w:uiPriority w:val="21"/>
    <w:semiHidden/>
    <w:unhideWhenUsed/>
    <w:rsid w:val="007634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6351">
      <w:bodyDiv w:val="1"/>
      <w:marLeft w:val="0"/>
      <w:marRight w:val="0"/>
      <w:marTop w:val="0"/>
      <w:marBottom w:val="0"/>
      <w:divBdr>
        <w:top w:val="none" w:sz="0" w:space="0" w:color="auto"/>
        <w:left w:val="none" w:sz="0" w:space="0" w:color="auto"/>
        <w:bottom w:val="none" w:sz="0" w:space="0" w:color="auto"/>
        <w:right w:val="none" w:sz="0" w:space="0" w:color="auto"/>
      </w:divBdr>
    </w:div>
    <w:div w:id="153231707">
      <w:bodyDiv w:val="1"/>
      <w:marLeft w:val="0"/>
      <w:marRight w:val="0"/>
      <w:marTop w:val="0"/>
      <w:marBottom w:val="0"/>
      <w:divBdr>
        <w:top w:val="none" w:sz="0" w:space="0" w:color="auto"/>
        <w:left w:val="none" w:sz="0" w:space="0" w:color="auto"/>
        <w:bottom w:val="none" w:sz="0" w:space="0" w:color="auto"/>
        <w:right w:val="none" w:sz="0" w:space="0" w:color="auto"/>
      </w:divBdr>
    </w:div>
    <w:div w:id="317928319">
      <w:bodyDiv w:val="1"/>
      <w:marLeft w:val="0"/>
      <w:marRight w:val="0"/>
      <w:marTop w:val="0"/>
      <w:marBottom w:val="0"/>
      <w:divBdr>
        <w:top w:val="none" w:sz="0" w:space="0" w:color="auto"/>
        <w:left w:val="none" w:sz="0" w:space="0" w:color="auto"/>
        <w:bottom w:val="none" w:sz="0" w:space="0" w:color="auto"/>
        <w:right w:val="none" w:sz="0" w:space="0" w:color="auto"/>
      </w:divBdr>
    </w:div>
    <w:div w:id="473907650">
      <w:bodyDiv w:val="1"/>
      <w:marLeft w:val="0"/>
      <w:marRight w:val="0"/>
      <w:marTop w:val="0"/>
      <w:marBottom w:val="0"/>
      <w:divBdr>
        <w:top w:val="none" w:sz="0" w:space="0" w:color="auto"/>
        <w:left w:val="none" w:sz="0" w:space="0" w:color="auto"/>
        <w:bottom w:val="none" w:sz="0" w:space="0" w:color="auto"/>
        <w:right w:val="none" w:sz="0" w:space="0" w:color="auto"/>
      </w:divBdr>
    </w:div>
    <w:div w:id="865871862">
      <w:bodyDiv w:val="1"/>
      <w:marLeft w:val="0"/>
      <w:marRight w:val="0"/>
      <w:marTop w:val="0"/>
      <w:marBottom w:val="0"/>
      <w:divBdr>
        <w:top w:val="none" w:sz="0" w:space="0" w:color="auto"/>
        <w:left w:val="none" w:sz="0" w:space="0" w:color="auto"/>
        <w:bottom w:val="none" w:sz="0" w:space="0" w:color="auto"/>
        <w:right w:val="none" w:sz="0" w:space="0" w:color="auto"/>
      </w:divBdr>
    </w:div>
    <w:div w:id="972251286">
      <w:bodyDiv w:val="1"/>
      <w:marLeft w:val="0"/>
      <w:marRight w:val="0"/>
      <w:marTop w:val="0"/>
      <w:marBottom w:val="0"/>
      <w:divBdr>
        <w:top w:val="none" w:sz="0" w:space="0" w:color="auto"/>
        <w:left w:val="none" w:sz="0" w:space="0" w:color="auto"/>
        <w:bottom w:val="none" w:sz="0" w:space="0" w:color="auto"/>
        <w:right w:val="none" w:sz="0" w:space="0" w:color="auto"/>
      </w:divBdr>
    </w:div>
    <w:div w:id="993678707">
      <w:bodyDiv w:val="1"/>
      <w:marLeft w:val="0"/>
      <w:marRight w:val="0"/>
      <w:marTop w:val="0"/>
      <w:marBottom w:val="0"/>
      <w:divBdr>
        <w:top w:val="none" w:sz="0" w:space="0" w:color="auto"/>
        <w:left w:val="none" w:sz="0" w:space="0" w:color="auto"/>
        <w:bottom w:val="none" w:sz="0" w:space="0" w:color="auto"/>
        <w:right w:val="none" w:sz="0" w:space="0" w:color="auto"/>
      </w:divBdr>
    </w:div>
    <w:div w:id="1196381405">
      <w:bodyDiv w:val="1"/>
      <w:marLeft w:val="0"/>
      <w:marRight w:val="0"/>
      <w:marTop w:val="0"/>
      <w:marBottom w:val="0"/>
      <w:divBdr>
        <w:top w:val="none" w:sz="0" w:space="0" w:color="auto"/>
        <w:left w:val="none" w:sz="0" w:space="0" w:color="auto"/>
        <w:bottom w:val="none" w:sz="0" w:space="0" w:color="auto"/>
        <w:right w:val="none" w:sz="0" w:space="0" w:color="auto"/>
      </w:divBdr>
    </w:div>
    <w:div w:id="1276983817">
      <w:bodyDiv w:val="1"/>
      <w:marLeft w:val="0"/>
      <w:marRight w:val="0"/>
      <w:marTop w:val="0"/>
      <w:marBottom w:val="0"/>
      <w:divBdr>
        <w:top w:val="none" w:sz="0" w:space="0" w:color="auto"/>
        <w:left w:val="none" w:sz="0" w:space="0" w:color="auto"/>
        <w:bottom w:val="none" w:sz="0" w:space="0" w:color="auto"/>
        <w:right w:val="none" w:sz="0" w:space="0" w:color="auto"/>
      </w:divBdr>
    </w:div>
    <w:div w:id="1867331634">
      <w:bodyDiv w:val="1"/>
      <w:marLeft w:val="0"/>
      <w:marRight w:val="0"/>
      <w:marTop w:val="0"/>
      <w:marBottom w:val="0"/>
      <w:divBdr>
        <w:top w:val="none" w:sz="0" w:space="0" w:color="auto"/>
        <w:left w:val="none" w:sz="0" w:space="0" w:color="auto"/>
        <w:bottom w:val="none" w:sz="0" w:space="0" w:color="auto"/>
        <w:right w:val="none" w:sz="0" w:space="0" w:color="auto"/>
      </w:divBdr>
    </w:div>
    <w:div w:id="209357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00430\AppData\Local\cBrain\F2\.tmp\b3033717c8c948608abac07192346fe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87C42687434E8DBF0E91682FFAED4D"/>
        <w:category>
          <w:name w:val="Generelt"/>
          <w:gallery w:val="placeholder"/>
        </w:category>
        <w:types>
          <w:type w:val="bbPlcHdr"/>
        </w:types>
        <w:behaviors>
          <w:behavior w:val="content"/>
        </w:behaviors>
        <w:guid w:val="{271707FD-8CDF-4565-A96B-59E9115EA675}"/>
      </w:docPartPr>
      <w:docPartBody>
        <w:p w:rsidR="00900B2D" w:rsidRDefault="004E1428" w:rsidP="004E1428">
          <w:pPr>
            <w:pStyle w:val="8A87C42687434E8DBF0E91682FFAED4D"/>
          </w:pPr>
          <w:r>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28"/>
    <w:rsid w:val="004E1428"/>
    <w:rsid w:val="00544859"/>
    <w:rsid w:val="00710CAD"/>
    <w:rsid w:val="00900B2D"/>
    <w:rsid w:val="00A617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E1428"/>
  </w:style>
  <w:style w:type="paragraph" w:customStyle="1" w:styleId="8A87C42687434E8DBF0E91682FFAED4D">
    <w:name w:val="8A87C42687434E8DBF0E91682FFAED4D"/>
    <w:rsid w:val="004E1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nnovationsfonden">
      <a:dk1>
        <a:srgbClr val="003741"/>
      </a:dk1>
      <a:lt1>
        <a:srgbClr val="FFFFFF"/>
      </a:lt1>
      <a:dk2>
        <a:srgbClr val="96EBF0"/>
      </a:dk2>
      <a:lt2>
        <a:srgbClr val="87A5A0"/>
      </a:lt2>
      <a:accent1>
        <a:srgbClr val="3CA5F5"/>
      </a:accent1>
      <a:accent2>
        <a:srgbClr val="3CDCA5"/>
      </a:accent2>
      <a:accent3>
        <a:srgbClr val="FFEB78"/>
      </a:accent3>
      <a:accent4>
        <a:srgbClr val="FF6E82"/>
      </a:accent4>
      <a:accent5>
        <a:srgbClr val="AA968C"/>
      </a:accent5>
      <a:accent6>
        <a:srgbClr val="FF734B"/>
      </a:accent6>
      <a:hlink>
        <a:srgbClr val="003741"/>
      </a:hlink>
      <a:folHlink>
        <a:srgbClr val="87A5A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9DD6-3813-4E68-80CF-C14701F1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b3033717c8c948608abac07192346fe7.dotx</Template>
  <TotalTime>66</TotalTime>
  <Pages>1</Pages>
  <Words>1857</Words>
  <Characters>11333</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Statens IT</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Nadia Aron Piilgaard</dc:creator>
  <cp:lastModifiedBy>Nadia Aron Piilgaard</cp:lastModifiedBy>
  <cp:revision>6</cp:revision>
  <cp:lastPrinted>2014-05-13T08:29:00Z</cp:lastPrinted>
  <dcterms:created xsi:type="dcterms:W3CDTF">2026-04-09T10:24:00Z</dcterms:created>
  <dcterms:modified xsi:type="dcterms:W3CDTF">2026-04-13T08:35:00Z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{74AB55C4-90B0-4557-AB9D-6789E66667B8}</vt:lpwstr>
  </property>
</Properties>
</file>